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9FD88B1" w14:textId="77777777" w:rsidR="00106D93" w:rsidRDefault="003407A8">
      <w:r>
        <w:rPr>
          <w:color w:val="707078"/>
          <w:sz w:val="19"/>
        </w:rPr>
        <w:t>[Practice letterhead]</w:t>
      </w:r>
    </w:p>
    <w:p w14:paraId="7E71A4D8" w14:textId="77777777" w:rsidR="00106D93" w:rsidRDefault="003407A8">
      <w:pPr>
        <w:spacing w:after="320"/>
      </w:pPr>
      <w:r>
        <w:rPr>
          <w:color w:val="707078"/>
          <w:sz w:val="19"/>
        </w:rPr>
        <w:t>[Date]</w:t>
      </w:r>
    </w:p>
    <w:p w14:paraId="68CDFBA9" w14:textId="77777777" w:rsidR="00106D93" w:rsidRDefault="003407A8">
      <w:pPr>
        <w:spacing w:after="240"/>
      </w:pPr>
      <w:r>
        <w:t>Dear Councillor [name],</w:t>
      </w:r>
    </w:p>
    <w:p w14:paraId="413C72B6" w14:textId="77777777" w:rsidR="00106D93" w:rsidRDefault="003407A8">
      <w:pPr>
        <w:spacing w:after="240"/>
      </w:pPr>
      <w:r>
        <w:rPr>
          <w:b/>
        </w:rPr>
        <w:t>Re: Allocation of Neighbourhood Health funding and its impact on local patients</w:t>
      </w:r>
    </w:p>
    <w:p w14:paraId="470994AC" w14:textId="77777777" w:rsidR="00106D93" w:rsidRDefault="003407A8">
      <w:r>
        <w:t>I am writing on behalf of [practice name], which provides NHS general practice services to approximately [X] patients in your ward.</w:t>
      </w:r>
    </w:p>
    <w:p w14:paraId="55995B2E" w14:textId="77777777" w:rsidR="00106D93" w:rsidRDefault="003407A8">
      <w:r>
        <w:t>Cheshire and Merseyside Integrated Care Board has allocated £2.04 million of Service Development Funding to Primary Care Networks to support Neighbourhood Health development and winter resilience in 2026/27. It has chosen to distribute that funding using a single measure, avoidable mortality, as the sole basis.</w:t>
      </w:r>
    </w:p>
    <w:p w14:paraId="774BE599" w14:textId="77777777" w:rsidR="00106D93" w:rsidRDefault="003407A8">
      <w:r>
        <w:t>We support efforts to reduce health inequalities. Our concern is that this measure records premature death, and so does not recognise the needs of communities with older populations and high levels of frailty, dementia and multiple long-term conditions. In NHS England’s own national formula this measure accounts for approximately 15% of the primary medical care allocation, alongside age and morbidity. The ICB has used it as the whole basis for this funding.</w:t>
      </w:r>
    </w:p>
    <w:p w14:paraId="35B42262" w14:textId="77777777" w:rsidR="00106D93" w:rsidRDefault="003407A8">
      <w:r>
        <w:t>The purpose of the funding is to strengthen neighbourhood working and improve resilience during periods of greatest pressure, particularly winter. Our practice cares for many patients who need proactive, multidisciplinary support to remain independent and avoid unnecessary hospital admission.</w:t>
      </w:r>
    </w:p>
    <w:p w14:paraId="5A97D08F" w14:textId="77777777" w:rsidR="00106D93" w:rsidRDefault="003407A8">
      <w:r>
        <w:t>Applying the ICB’s formula to our practice population, we receive approximately £[amount] less than an equal share per registered patient, a reduction of [percentage]%. Across Cheshire, 72 of the 79 practices receive less than an equal share.</w:t>
      </w:r>
    </w:p>
    <w:p w14:paraId="0D28D851" w14:textId="77777777" w:rsidR="00106D93" w:rsidRDefault="003407A8">
      <w:pPr>
        <w:ind w:left="216"/>
      </w:pPr>
      <w:r>
        <w:rPr>
          <w:i/>
          <w:color w:val="B02A37"/>
          <w:sz w:val="18"/>
        </w:rPr>
        <w:t>[Insert your practice figures from the LMC engagement pack table. Use the practice figure, not a PCN figure, unless the ICB has given you one.]</w:t>
      </w:r>
    </w:p>
    <w:p w14:paraId="72FF5126" w14:textId="77777777" w:rsidR="00106D93" w:rsidRDefault="003407A8">
      <w:pPr>
        <w:spacing w:after="120"/>
      </w:pPr>
      <w:r>
        <w:t>This reduction affects our ability to develop neighbourhood services for some of our most vulnerable residents, including:</w:t>
      </w:r>
    </w:p>
    <w:p w14:paraId="47D901B6" w14:textId="77777777" w:rsidR="00106D93" w:rsidRDefault="003407A8">
      <w:pPr>
        <w:pStyle w:val="ListBullet"/>
        <w:spacing w:after="100"/>
      </w:pPr>
      <w:r>
        <w:t>Older people living with frailty</w:t>
      </w:r>
    </w:p>
    <w:p w14:paraId="6B2373F6" w14:textId="77777777" w:rsidR="00106D93" w:rsidRDefault="003407A8">
      <w:pPr>
        <w:pStyle w:val="ListBullet"/>
        <w:spacing w:after="100"/>
      </w:pPr>
      <w:r>
        <w:t>Care home residents</w:t>
      </w:r>
    </w:p>
    <w:p w14:paraId="4A24A432" w14:textId="77777777" w:rsidR="00106D93" w:rsidRDefault="003407A8">
      <w:pPr>
        <w:pStyle w:val="ListBullet"/>
        <w:spacing w:after="100"/>
      </w:pPr>
      <w:r>
        <w:t>Patients living with dementia</w:t>
      </w:r>
    </w:p>
    <w:p w14:paraId="7ABBE75B" w14:textId="77777777" w:rsidR="00106D93" w:rsidRDefault="003407A8">
      <w:pPr>
        <w:pStyle w:val="ListBullet"/>
        <w:spacing w:after="100"/>
      </w:pPr>
      <w:r>
        <w:t>People with multiple long-term conditions</w:t>
      </w:r>
    </w:p>
    <w:p w14:paraId="15A77C0E" w14:textId="77777777" w:rsidR="00106D93" w:rsidRDefault="003407A8">
      <w:pPr>
        <w:pStyle w:val="ListBullet"/>
        <w:spacing w:after="100"/>
      </w:pPr>
      <w:r>
        <w:t>Patients who rely on coordinated care between general practice, community services and adult social care</w:t>
      </w:r>
    </w:p>
    <w:p w14:paraId="554EF170" w14:textId="77777777" w:rsidR="00106D93" w:rsidRDefault="003407A8">
      <w:r>
        <w:lastRenderedPageBreak/>
        <w:t>These are also the residents most likely to require support from local authority services. Where general practice has less capacity to provide proactive care, pressure tends to fall elsewhere in the system, including on social care.</w:t>
      </w:r>
    </w:p>
    <w:p w14:paraId="5091330C" w14:textId="77777777" w:rsidR="00106D93" w:rsidRDefault="003407A8">
      <w:r>
        <w:t>Given the role councillors play in representing local communities and promoting integrated working between health and social care, I would be grateful if you could raise this with Cheshire and Merseyside ICB and ask whether the allocation method appropriately reflects the needs of communities such as ours. We would be pleased to meet you to discuss the likely impact on patients and local services.</w:t>
      </w:r>
    </w:p>
    <w:p w14:paraId="6D6039A2" w14:textId="77777777" w:rsidR="00106D93" w:rsidRDefault="003407A8">
      <w:pPr>
        <w:spacing w:after="560"/>
      </w:pPr>
      <w:r>
        <w:t>Yours sincerely,</w:t>
      </w:r>
    </w:p>
    <w:p w14:paraId="1F8FF9BC" w14:textId="77777777" w:rsidR="00106D93" w:rsidRDefault="003407A8">
      <w:r>
        <w:t>[Name]</w:t>
      </w:r>
    </w:p>
    <w:p w14:paraId="716C5AC4" w14:textId="77777777" w:rsidR="00106D93" w:rsidRDefault="003407A8">
      <w:r>
        <w:t>[Role]</w:t>
      </w:r>
    </w:p>
    <w:p w14:paraId="64E2F741" w14:textId="77777777" w:rsidR="00106D93" w:rsidRDefault="003407A8">
      <w:r>
        <w:t>[Practice name]</w:t>
      </w:r>
    </w:p>
    <w:sectPr w:rsidR="00106D93"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0447430">
    <w:abstractNumId w:val="8"/>
  </w:num>
  <w:num w:numId="2" w16cid:durableId="863789765">
    <w:abstractNumId w:val="6"/>
  </w:num>
  <w:num w:numId="3" w16cid:durableId="1957714415">
    <w:abstractNumId w:val="5"/>
  </w:num>
  <w:num w:numId="4" w16cid:durableId="838233450">
    <w:abstractNumId w:val="4"/>
  </w:num>
  <w:num w:numId="5" w16cid:durableId="2088990990">
    <w:abstractNumId w:val="7"/>
  </w:num>
  <w:num w:numId="6" w16cid:durableId="999774167">
    <w:abstractNumId w:val="3"/>
  </w:num>
  <w:num w:numId="7" w16cid:durableId="1659454816">
    <w:abstractNumId w:val="2"/>
  </w:num>
  <w:num w:numId="8" w16cid:durableId="88622772">
    <w:abstractNumId w:val="1"/>
  </w:num>
  <w:num w:numId="9" w16cid:durableId="191400431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06D93"/>
    <w:rsid w:val="0015074B"/>
    <w:rsid w:val="002244C8"/>
    <w:rsid w:val="0029639D"/>
    <w:rsid w:val="00326F90"/>
    <w:rsid w:val="003407A8"/>
    <w:rsid w:val="007D1951"/>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70C0D2"/>
  <w14:defaultImageDpi w14:val="300"/>
  <w15:docId w15:val="{7D9AF67D-4783-5D4E-A5FF-9DCD68F24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80"/>
    </w:pPr>
    <w:rPr>
      <w:rFonts w:ascii="Segoe UI" w:hAnsi="Segoe UI"/>
      <w:color w:val="1A1A1A"/>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411</Words>
  <Characters>2344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WARD, David (MIDDLEWOOD PARTNERSHIP)</cp:lastModifiedBy>
  <cp:revision>2</cp:revision>
  <dcterms:created xsi:type="dcterms:W3CDTF">2026-07-15T11:36:00Z</dcterms:created>
  <dcterms:modified xsi:type="dcterms:W3CDTF">2026-07-15T11:36:00Z</dcterms:modified>
  <cp:category/>
</cp:coreProperties>
</file>