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single" w:color="2B2A6E" w:sz="4"/>
              <w:left w:val="single" w:color="2B2A6E" w:sz="4"/>
              <w:bottom w:val="single" w:color="F0973B" w:sz="36"/>
              <w:right w:val="single" w:color="2B2A6E" w:sz="4"/>
            </w:tcBorders>
            <w:shd w:fill="2B2A6E" w:color="auto" w:val="clear"/>
            <w:tcMar>
              <w:top w:type="dxa" w:w="300"/>
              <w:left w:type="dxa" w:w="360"/>
              <w:bottom w:type="dxa" w:w="300"/>
              <w:right w:type="dxa" w:w="360"/>
            </w:tcMar>
          </w:tcPr>
          <w:p>
            <w:pPr>
              <w:spacing w:after="160"/>
            </w:pPr>
            <w:r>
              <w:rPr>
                <w:rFonts w:ascii="Arial" w:cs="Arial" w:eastAsia="Arial" w:hAnsi="Arial"/>
                <w:b/>
                <w:bCs/>
                <w:color w:val="FFFFFF"/>
                <w:spacing w:val="40"/>
                <w:sz w:val="17"/>
                <w:szCs w:val="17"/>
                <w:shd w:fill="F0973B" w:color="auto" w:val="clear"/>
              </w:rPr>
              <w:t xml:space="preserve">  PRESCRIBING UPDATE  </w:t>
            </w:r>
          </w:p>
          <w:p>
            <w:pPr>
              <w:spacing w:after="100"/>
            </w:pPr>
            <w:r>
              <w:rPr>
                <w:rFonts w:ascii="Arial" w:cs="Arial" w:eastAsia="Arial" w:hAnsi="Arial"/>
                <w:b/>
                <w:bCs/>
                <w:color w:val="FFFFFF"/>
                <w:sz w:val="36"/>
                <w:szCs w:val="36"/>
              </w:rPr>
              <w:t xml:space="preserve">Semaglutide (Wegovy®) for Cardiovascular Risk Reduction (NICE TA1152)</w:t>
            </w:r>
          </w:p>
          <w:p>
            <w:pPr>
              <w:spacing w:after="140"/>
            </w:pPr>
            <w:r>
              <w:rPr>
                <w:rFonts w:ascii="Arial" w:cs="Arial" w:eastAsia="Arial" w:hAnsi="Arial"/>
                <w:color w:val="DCE0F2"/>
                <w:sz w:val="24"/>
                <w:szCs w:val="24"/>
              </w:rPr>
              <w:t xml:space="preserve">Update for Cheshire GP practices</w:t>
            </w:r>
          </w:p>
          <w:p>
            <w:r>
              <w:rPr>
                <w:rFonts w:ascii="Arial" w:cs="Arial" w:eastAsia="Arial" w:hAnsi="Arial"/>
                <w:b/>
                <w:bCs/>
                <w:color w:val="FFFFFF"/>
                <w:spacing w:val="40"/>
                <w:sz w:val="17"/>
                <w:szCs w:val="17"/>
              </w:rPr>
              <w:t xml:space="preserve">CHESHIRE </w:t>
            </w:r>
            <w:r>
              <w:rPr>
                <w:rFonts w:ascii="Arial" w:cs="Arial" w:eastAsia="Arial" w:hAnsi="Arial"/>
                <w:b/>
                <w:bCs/>
                <w:color w:val="7FB0E6"/>
                <w:spacing w:val="40"/>
                <w:sz w:val="17"/>
                <w:szCs w:val="17"/>
              </w:rPr>
              <w:t xml:space="preserve">LMC</w:t>
            </w:r>
            <w:r>
              <w:rPr>
                <w:rFonts w:ascii="Arial" w:cs="Arial" w:eastAsia="Arial" w:hAnsi="Arial"/>
                <w:b/>
                <w:bCs/>
                <w:color w:val="A9B6E0"/>
                <w:spacing w:val="30"/>
                <w:sz w:val="17"/>
                <w:szCs w:val="17"/>
              </w:rPr>
              <w:t xml:space="preserve">   ·   14 OCTOBER 2026</w:t>
            </w:r>
          </w:p>
        </w:tc>
      </w:tr>
    </w:tbl>
    <w:p>
      <w:pPr>
        <w:spacing w:after="120"/>
      </w:pPr>
    </w:p>
    <w:p>
      <w:pPr>
        <w:spacing w:after="160" w:line="276"/>
      </w:pPr>
      <w:r>
        <w:rPr>
          <w:rFonts w:ascii="Arial" w:cs="Arial" w:eastAsia="Arial" w:hAnsi="Arial"/>
          <w:sz w:val="22"/>
          <w:szCs w:val="22"/>
        </w:rPr>
        <w:t xml:space="preserve">Dear Colleagues,</w:t>
      </w:r>
    </w:p>
    <w:p>
      <w:pPr>
        <w:spacing w:after="160" w:line="276"/>
      </w:pPr>
      <w:r>
        <w:rPr>
          <w:rFonts w:ascii="Arial" w:cs="Arial" w:eastAsia="Arial" w:hAnsi="Arial"/>
          <w:sz w:val="22"/>
          <w:szCs w:val="22"/>
        </w:rPr>
        <w:t xml:space="preserve">Following discussion at the recent LMC County meeting, we are writing to set out Cheshire LMC’s position on semaglutide (Wegovy®) for reducing the risk of major adverse cardiovascular events under NICE TA1152. This position is aligned with the BMA GPC England guidance “Focus on Semaglutide (Wegovy®) in General Practice”, published in September 2026.</w:t>
      </w:r>
    </w:p>
    <w:p>
      <w:pPr>
        <w:pBdr>
          <w:left w:val="single" w:color="F0973B" w:sz="36" w:space="10"/>
        </w:pBdr>
        <w:spacing w:after="120" w:before="280"/>
        <w:ind w:left="200"/>
      </w:pPr>
      <w:r>
        <w:rPr>
          <w:rFonts w:ascii="Arial" w:cs="Arial" w:eastAsia="Arial" w:hAnsi="Arial"/>
          <w:b/>
          <w:bCs/>
          <w:color w:val="2B2A6E"/>
          <w:sz w:val="26"/>
          <w:szCs w:val="26"/>
        </w:rPr>
        <w:t xml:space="preserve">Background</w:t>
      </w:r>
    </w:p>
    <w:p>
      <w:pPr>
        <w:spacing w:after="160" w:line="276"/>
      </w:pPr>
      <w:r>
        <w:rPr>
          <w:rFonts w:ascii="Arial" w:cs="Arial" w:eastAsia="Arial" w:hAnsi="Arial"/>
          <w:sz w:val="22"/>
          <w:szCs w:val="22"/>
        </w:rPr>
        <w:t xml:space="preserve">NICE TA1152 recommends semaglutide (up to 2.4 mg weekly) to reduce the risk of major adverse cardiovascular events in adults with established cardiovascular disease and a BMI of 27 kg/m² or more, alongside diet and physical activity. The evidence shows a real reduction in cardiovascular death, non-fatal MI and stroke, and the LMC recognises this as an important advance in secondary prevention.</w:t>
      </w:r>
    </w:p>
    <w:p>
      <w:pPr>
        <w:spacing w:after="160" w:line="276"/>
      </w:pPr>
      <w:r>
        <w:rPr>
          <w:rFonts w:ascii="Arial" w:cs="Arial" w:eastAsia="Arial" w:hAnsi="Arial"/>
          <w:sz w:val="22"/>
          <w:szCs w:val="22"/>
        </w:rPr>
        <w:t xml:space="preserve">Locally, the Cheshire and Merseyside Area Prescribing Group (APG) has assigned semaglutide (Wegovy®) injection for this indication a Green status on the Cheshire and Merseyside Formulary, in accordance with NICE TA1152. The APG prescribing policy (v1.0) received ICB approval on 6 August 2026. The formulary entry notes that a Task and Finish Group will be convened to develop additional implementation guidance. Wegovy should be prescribed by brand and is not interchangeable with Ozempic or Rybelsus.</w:t>
      </w:r>
    </w:p>
    <w:p>
      <w:pPr>
        <w:spacing w:after="160" w:line="276"/>
      </w:pPr>
      <w:r>
        <w:rPr>
          <w:rFonts w:ascii="Arial" w:cs="Arial" w:eastAsia="Arial" w:hAnsi="Arial"/>
          <w:sz w:val="22"/>
          <w:szCs w:val="22"/>
        </w:rPr>
        <w:t xml:space="preserve">Green formulary status means the medicine is approved for prescribing in primary care. It does not, on its own, create a contractual obligation for practices to establish a new service or to carry out population-wide implementation.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none" w:color="FFFFFF" w:sz="0"/>
              <w:left w:val="single" w:color="2E75B5" w:sz="24"/>
              <w:bottom w:val="none" w:color="FFFFFF" w:sz="0"/>
              <w:right w:val="none" w:color="FFFFFF" w:sz="0"/>
            </w:tcBorders>
            <w:shd w:fill="EAF3FB" w:color="auto" w:val="clear"/>
            <w:tcMar>
              <w:top w:type="dxa" w:w="140"/>
              <w:left w:type="dxa" w:w="240"/>
              <w:bottom w:type="dxa" w:w="140"/>
              <w:right w:type="dxa" w:w="240"/>
            </w:tcMar>
          </w:tcPr>
          <w:p>
            <w:pPr>
              <w:spacing w:after="80"/>
            </w:pPr>
            <w:r>
              <w:rPr>
                <w:rFonts w:ascii="Arial" w:cs="Arial" w:eastAsia="Arial" w:hAnsi="Arial"/>
                <w:b/>
                <w:bCs/>
                <w:color w:val="2B2A6E"/>
                <w:sz w:val="22"/>
                <w:szCs w:val="22"/>
              </w:rPr>
              <w:t xml:space="preserve">Local formulary</w:t>
            </w:r>
          </w:p>
          <w:p>
            <w:pPr>
              <w:spacing w:after="40"/>
            </w:pPr>
            <w:r>
              <w:rPr>
                <w:rFonts w:ascii="Arial" w:cs="Arial" w:eastAsia="Arial" w:hAnsi="Arial"/>
                <w:sz w:val="22"/>
                <w:szCs w:val="22"/>
              </w:rPr>
              <w:t xml:space="preserve">APG prescribing policy: </w:t>
            </w:r>
            <w:hyperlink w:history="1" r:id="rIdehldt4lwnojsij1tntgts">
              <w:r>
                <w:rPr>
                  <w:rStyle w:val="Hyperlink"/>
                  <w:rFonts w:ascii="Arial" w:cs="Arial" w:eastAsia="Arial" w:hAnsi="Arial"/>
                  <w:color w:val="2E75B5"/>
                  <w:sz w:val="22"/>
                  <w:szCs w:val="22"/>
                  <w:u w:val="single"/>
                </w:rPr>
                <w:t xml:space="preserve">Semaglutide for reducing the risk of MACE (v1.0)</w:t>
              </w:r>
            </w:hyperlink>
          </w:p>
          <w:p>
            <w:r>
              <w:rPr>
                <w:rFonts w:ascii="Arial" w:cs="Arial" w:eastAsia="Arial" w:hAnsi="Arial"/>
                <w:sz w:val="22"/>
                <w:szCs w:val="22"/>
              </w:rPr>
              <w:t xml:space="preserve">Formulary entry: </w:t>
            </w:r>
            <w:hyperlink w:history="1" r:id="rIdqnarpykoid3qmiwzwtddl">
              <w:r>
                <w:rPr>
                  <w:rStyle w:val="Hyperlink"/>
                  <w:rFonts w:ascii="Arial" w:cs="Arial" w:eastAsia="Arial" w:hAnsi="Arial"/>
                  <w:color w:val="2E75B5"/>
                  <w:sz w:val="22"/>
                  <w:szCs w:val="22"/>
                  <w:u w:val="single"/>
                </w:rPr>
                <w:t xml:space="preserve">Endocrine chapter – GLP-1 receptor agonists</w:t>
              </w:r>
            </w:hyperlink>
          </w:p>
        </w:tc>
      </w:tr>
    </w:tbl>
    <w:p>
      <w:pPr>
        <w:spacing w:after="60"/>
      </w:pPr>
    </w:p>
    <w:p>
      <w:pPr>
        <w:pBdr>
          <w:left w:val="single" w:color="F0973B" w:sz="36" w:space="10"/>
        </w:pBdr>
        <w:spacing w:after="120" w:before="280"/>
        <w:ind w:left="200"/>
      </w:pPr>
      <w:r>
        <w:rPr>
          <w:rFonts w:ascii="Arial" w:cs="Arial" w:eastAsia="Arial" w:hAnsi="Arial"/>
          <w:b/>
          <w:bCs/>
          <w:color w:val="2B2A6E"/>
          <w:sz w:val="26"/>
          <w:szCs w:val="26"/>
        </w:rPr>
        <w:t xml:space="preserve">Contractual position</w:t>
      </w:r>
    </w:p>
    <w:p>
      <w:pPr>
        <w:spacing w:after="160" w:line="276"/>
      </w:pPr>
      <w:r>
        <w:rPr>
          <w:rFonts w:ascii="Arial" w:cs="Arial" w:eastAsia="Arial" w:hAnsi="Arial"/>
          <w:sz w:val="22"/>
          <w:szCs w:val="22"/>
        </w:rPr>
        <w:t xml:space="preserve">Prescribing semaglutide for this indication is not part of core GMS/PMS work and does not form part of the current CVD QOF indicators. NICE technology appraisals place the funding obligation on commissioners, not on individual practices. They do not mandate a particular delivery model.</w:t>
      </w:r>
    </w:p>
    <w:p>
      <w:pPr>
        <w:spacing w:after="160" w:line="276"/>
      </w:pPr>
      <w:r>
        <w:rPr>
          <w:rFonts w:ascii="Arial" w:cs="Arial" w:eastAsia="Arial" w:hAnsi="Arial"/>
          <w:sz w:val="22"/>
          <w:szCs w:val="22"/>
        </w:rPr>
        <w:t xml:space="preserve">Starting semaglutide is not a single prescribing event. It involves an eligibility assessment and shared decision-making, then several reviews over a 16-week dose-escalation period to manage tolerability and side effects. After that comes ongoing monitoring, lifestyle support, and the administrative work of coding, recalls and repeat prescribing. At the scale of eligible patients on practice CVD registers, this is a substantial new workstream.</w:t>
      </w:r>
    </w:p>
    <w:p>
      <w:pPr>
        <w:pBdr>
          <w:left w:val="single" w:color="F0973B" w:sz="36" w:space="10"/>
        </w:pBdr>
        <w:spacing w:after="120" w:before="280"/>
        <w:ind w:left="200"/>
      </w:pPr>
      <w:r>
        <w:rPr>
          <w:rFonts w:ascii="Arial" w:cs="Arial" w:eastAsia="Arial" w:hAnsi="Arial"/>
          <w:b/>
          <w:bCs/>
          <w:color w:val="2B2A6E"/>
          <w:sz w:val="26"/>
          <w:szCs w:val="26"/>
        </w:rPr>
        <w:t xml:space="preserve">LMC position</w:t>
      </w:r>
    </w:p>
    <w:p>
      <w:pPr>
        <w:spacing w:after="160" w:line="276"/>
      </w:pPr>
      <w:r>
        <w:rPr>
          <w:rFonts w:ascii="Arial" w:cs="Arial" w:eastAsia="Arial" w:hAnsi="Arial"/>
          <w:sz w:val="22"/>
          <w:szCs w:val="22"/>
        </w:rPr>
        <w:t xml:space="preserve">In line with BMA guidance, Cheshire LMC advises that:</w:t>
      </w:r>
    </w:p>
    <w:p>
      <w:pPr>
        <w:pStyle w:val="ListParagraph"/>
        <w:numPr>
          <w:ilvl w:val="0"/>
          <w:numId w:val="2"/>
        </w:numPr>
        <w:spacing w:after="100" w:line="276"/>
      </w:pPr>
      <w:r>
        <w:rPr>
          <w:rFonts w:ascii="Arial" w:cs="Arial" w:eastAsia="Arial" w:hAnsi="Arial"/>
          <w:sz w:val="22"/>
          <w:szCs w:val="22"/>
        </w:rPr>
        <w:t xml:space="preserve">Until a commissioned and appropriately funded pathway is in place, practices should not take on routine initiation of semaglutide for this indication where they cannot currently provide safe assessment, titration, monitoring and follow-up, or fair access across their eligible population. Each prescriber remains responsible for ensuring that any prescription they issue is appropriate, necessary and safe, in line with GMC prescribing guidance.</w:t>
      </w:r>
    </w:p>
    <w:p>
      <w:pPr>
        <w:pStyle w:val="ListParagraph"/>
        <w:numPr>
          <w:ilvl w:val="0"/>
          <w:numId w:val="2"/>
        </w:numPr>
        <w:spacing w:after="100" w:line="276"/>
      </w:pPr>
      <w:r>
        <w:rPr>
          <w:rFonts w:ascii="Arial" w:cs="Arial" w:eastAsia="Arial" w:hAnsi="Arial"/>
          <w:sz w:val="22"/>
          <w:szCs w:val="22"/>
        </w:rPr>
        <w:t xml:space="preserve">Any expectation that general practice delivers this work should come through a formal local service specification (LES/LCS), with funding that covers identification, assessment, initiation, titration, monitoring, lifestyle support and administration.</w:t>
      </w:r>
    </w:p>
    <w:p>
      <w:pPr>
        <w:pStyle w:val="ListParagraph"/>
        <w:numPr>
          <w:ilvl w:val="0"/>
          <w:numId w:val="2"/>
        </w:numPr>
        <w:spacing w:after="100" w:line="276"/>
      </w:pPr>
      <w:r>
        <w:rPr>
          <w:rFonts w:ascii="Arial" w:cs="Arial" w:eastAsia="Arial" w:hAnsi="Arial"/>
          <w:sz w:val="22"/>
          <w:szCs w:val="22"/>
        </w:rPr>
        <w:t xml:space="preserve">Practices are not obliged to carry out population-wide searches, proactively recall or invite patients, or set up dedicated clinics for this indication.</w:t>
      </w:r>
    </w:p>
    <w:p>
      <w:pPr>
        <w:pStyle w:val="ListParagraph"/>
        <w:numPr>
          <w:ilvl w:val="0"/>
          <w:numId w:val="2"/>
        </w:numPr>
        <w:spacing w:after="100" w:line="276"/>
      </w:pPr>
      <w:r>
        <w:rPr>
          <w:rFonts w:ascii="Arial" w:cs="Arial" w:eastAsia="Arial" w:hAnsi="Arial"/>
          <w:sz w:val="22"/>
          <w:szCs w:val="22"/>
        </w:rPr>
        <w:t xml:space="preserve">Where any prescribing does take place, it should follow the NICE criteria strictly.</w:t>
      </w:r>
    </w:p>
    <w:p>
      <w:pPr>
        <w:pBdr>
          <w:left w:val="single" w:color="F0973B" w:sz="36" w:space="10"/>
        </w:pBdr>
        <w:spacing w:after="120" w:before="280"/>
        <w:ind w:left="200"/>
      </w:pPr>
      <w:r>
        <w:rPr>
          <w:rFonts w:ascii="Arial" w:cs="Arial" w:eastAsia="Arial" w:hAnsi="Arial"/>
          <w:b/>
          <w:bCs/>
          <w:color w:val="2B2A6E"/>
          <w:sz w:val="26"/>
          <w:szCs w:val="26"/>
        </w:rPr>
        <w:t xml:space="preserve">Individual patients</w:t>
      </w:r>
    </w:p>
    <w:p>
      <w:pPr>
        <w:spacing w:after="160" w:line="276"/>
      </w:pPr>
      <w:r>
        <w:rPr>
          <w:rFonts w:ascii="Arial" w:cs="Arial" w:eastAsia="Arial" w:hAnsi="Arial"/>
          <w:sz w:val="22"/>
          <w:szCs w:val="22"/>
        </w:rPr>
        <w:t xml:space="preserve">Practices should still respond to individual patients professionally and in line with GMC guidance on decision making and consent. Semaglutide is a Green, NICE-recommended option locally, so patients who ask about it should be told that it is available as a treatment option, that a local pathway is being developed, and what this means for them in the meantime. The conversation and any decision should be recorded. A blanket refusal to discuss or consider treatment is not advised.</w:t>
      </w:r>
    </w:p>
    <w:p>
      <w:pPr>
        <w:spacing w:after="160" w:line="276"/>
      </w:pPr>
      <w:r>
        <w:rPr>
          <w:rFonts w:ascii="Arial" w:cs="Arial" w:eastAsia="Arial" w:hAnsi="Arial"/>
          <w:sz w:val="22"/>
          <w:szCs w:val="22"/>
        </w:rPr>
        <w:t xml:space="preserve">In the meantime, clinicians should continue to review and optimise standard secondary prevention for these patients, including lipid management, blood pressure control, antiplatelet therapy and lifestyle support. Patients with type 2 diabetes and established cardiovascular disease may already be eligible for a GLP-1 receptor agonist under existing diabetes prescribing guidance.</w:t>
      </w:r>
    </w:p>
    <w:p>
      <w:pPr>
        <w:spacing w:after="160" w:line="276"/>
      </w:pPr>
      <w:r>
        <w:rPr>
          <w:rFonts w:ascii="Arial" w:cs="Arial" w:eastAsia="Arial" w:hAnsi="Arial"/>
          <w:sz w:val="22"/>
          <w:szCs w:val="22"/>
        </w:rPr>
        <w:t xml:space="preserve">A request from a patient or another clinician, however it is framed, does not by itself oblige a practice to initiate treatment for this indication. Practices that choose to prescribe should be satisfied that they can offer safe follow-up and fair access across their whole eligible population, not only to those who ask first.</w:t>
      </w:r>
    </w:p>
    <w:p>
      <w:pPr>
        <w:pBdr>
          <w:left w:val="single" w:color="F0973B" w:sz="36" w:space="10"/>
        </w:pBdr>
        <w:spacing w:after="120" w:before="280"/>
        <w:ind w:left="200"/>
      </w:pPr>
      <w:r>
        <w:rPr>
          <w:rFonts w:ascii="Arial" w:cs="Arial" w:eastAsia="Arial" w:hAnsi="Arial"/>
          <w:b/>
          <w:bCs/>
          <w:color w:val="2B2A6E"/>
          <w:sz w:val="26"/>
          <w:szCs w:val="26"/>
        </w:rPr>
        <w:t xml:space="preserve">What the LMC is doing</w:t>
      </w:r>
    </w:p>
    <w:p>
      <w:pPr>
        <w:spacing w:after="160" w:line="276"/>
      </w:pPr>
      <w:r>
        <w:rPr>
          <w:rFonts w:ascii="Arial" w:cs="Arial" w:eastAsia="Arial" w:hAnsi="Arial"/>
          <w:sz w:val="22"/>
          <w:szCs w:val="22"/>
        </w:rPr>
        <w:t xml:space="preserve">Cheshire LMC has formally informed Cheshire and Merseyside ICB of the BMA and LMC position set out in this letter. A representative from the Cheshire and Merseyside Association of LMCs has also joined the ICB Task and Finish Group referred to in the formulary entry above, which is developing the additional implementation guidance. The group’s purpose is to work through a solution that supports patients and practices appropriately. Through this group, we will continue to press for a funded, system-wide pathway with clear responsibilities between primary and secondary care. We will update practices as discussions progress.</w:t>
      </w:r>
    </w:p>
    <w:p>
      <w:pPr>
        <w:spacing w:after="160" w:line="276"/>
      </w:pPr>
      <w:r>
        <w:rPr>
          <w:rFonts w:ascii="Arial" w:cs="Arial" w:eastAsia="Arial" w:hAnsi="Arial"/>
          <w:sz w:val="22"/>
          <w:szCs w:val="22"/>
        </w:rPr>
        <w:t xml:space="preserve">The BMA guidance is available here: </w:t>
      </w:r>
      <w:hyperlink w:history="1" r:id="rIdfx2vam9bgtnohskaflado">
        <w:r>
          <w:rPr>
            <w:rStyle w:val="Hyperlink"/>
            <w:rFonts w:ascii="Arial" w:cs="Arial" w:eastAsia="Arial" w:hAnsi="Arial"/>
            <w:color w:val="2E75B5"/>
            <w:sz w:val="22"/>
            <w:szCs w:val="22"/>
            <w:u w:val="single"/>
          </w:rPr>
          <w:t xml:space="preserve">Focus on Semaglutide (Wegovy®) in General Practice</w:t>
        </w:r>
      </w:hyperlink>
    </w:p>
    <w:p>
      <w:pPr>
        <w:pBdr>
          <w:top w:val="single" w:color="F0973B" w:sz="12" w:space="8"/>
        </w:pBdr>
        <w:spacing w:before="240"/>
      </w:pPr>
      <w:r>
        <w:rPr>
          <w:rFonts w:ascii="Arial" w:cs="Arial" w:eastAsia="Arial" w:hAnsi="Arial"/>
          <w:b/>
          <w:bCs/>
          <w:color w:val="2B2A6E"/>
          <w:sz w:val="22"/>
          <w:szCs w:val="22"/>
        </w:rPr>
        <w:t xml:space="preserve">Cheshire Local Medical Committee</w:t>
      </w:r>
    </w:p>
    <w:sectPr>
      <w:headerReference w:type="default" r:id="rId7"/>
      <w:footerReference w:type="default" r:id="rId8"/>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B2A6E" w:sz="6" w:space="6"/>
      </w:pBdr>
      <w:jc w:val="center"/>
    </w:pPr>
    <w:r>
      <w:rPr>
        <w:rFonts w:ascii="Arial" w:cs="Arial" w:eastAsia="Arial" w:hAnsi="Arial"/>
        <w:b/>
        <w:bCs/>
        <w:color w:val="2B2A6E"/>
        <w:spacing w:val="20"/>
        <w:sz w:val="15"/>
        <w:szCs w:val="15"/>
      </w:rPr>
      <w:t xml:space="preserve">CHESHIRE LOCAL MEDICAL COMMITTEE   ·   </w:t>
    </w:r>
    <w:r>
      <w:rPr>
        <w:rFonts w:ascii="Arial" w:cs="Arial" w:eastAsia="Arial" w:hAnsi="Arial"/>
        <w:color w:val="6E7088"/>
        <w:sz w:val="16"/>
        <w:szCs w:val="16"/>
      </w:rPr>
      <w:t xml:space="preserve">Page </w:t>
    </w:r>
    <w:r>
      <w:rPr>
        <w:rFonts w:ascii="Arial" w:cs="Arial" w:eastAsia="Arial" w:hAnsi="Arial"/>
        <w:color w:val="6E7088"/>
        <w:sz w:val="16"/>
        <w:szCs w:val="16"/>
      </w:rPr>
      <w:fldChar w:fldCharType="begin"/>
      <w:instrText xml:space="preserve">PAGE</w:instrText>
      <w:fldChar w:fldCharType="separate"/>
      <w:fldChar w:fldCharType="end"/>
    </w:r>
    <w:r>
      <w:rPr>
        <w:rFonts w:ascii="Arial" w:cs="Arial" w:eastAsia="Arial" w:hAnsi="Arial"/>
        <w:color w:val="6E7088"/>
        <w:sz w:val="16"/>
        <w:szCs w:val="16"/>
      </w:rPr>
      <w:t xml:space="preserve"> of </w:t>
    </w:r>
    <w:r>
      <w:rPr>
        <w:rFonts w:ascii="Arial" w:cs="Arial" w:eastAsia="Arial" w:hAnsi="Arial"/>
        <w:color w:val="6E70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2B2A6E"/>
        <w:spacing w:val="30"/>
        <w:sz w:val="15"/>
        <w:szCs w:val="15"/>
      </w:rPr>
      <w:t xml:space="preserve">CHESHIRE </w:t>
    </w:r>
    <w:r>
      <w:rPr>
        <w:rFonts w:ascii="Arial" w:cs="Arial" w:eastAsia="Arial" w:hAnsi="Arial"/>
        <w:b/>
        <w:bCs/>
        <w:color w:val="2E75B5"/>
        <w:spacing w:val="30"/>
        <w:sz w:val="15"/>
        <w:szCs w:val="15"/>
      </w:rPr>
      <w:t xml:space="preserve">LMC</w:t>
    </w:r>
    <w:r>
      <w:rPr>
        <w:rFonts w:ascii="Arial" w:cs="Arial" w:eastAsia="Arial" w:hAnsi="Arial"/>
        <w:b/>
        <w:bCs/>
        <w:color w:val="6E7088"/>
        <w:spacing w:val="20"/>
        <w:sz w:val="15"/>
        <w:szCs w:val="15"/>
      </w:rPr>
      <w:t xml:space="preserve">   |   SEMAGLUTIDE (WEGOVY®) – NICE TA1152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hldt4lwnojsij1tntgts" Type="http://schemas.openxmlformats.org/officeDocument/2006/relationships/hyperlink" Target="https://cheshireandmerseysideformulary.nhs.uk/docs/files/semaglutide_cvd_v1.0.pdf" TargetMode="External"/><Relationship Id="rIdqnarpykoid3qmiwzwtddl" Type="http://schemas.openxmlformats.org/officeDocument/2006/relationships/hyperlink" Target="https://www.cheshireandmerseysideformulary.nhs.uk/chaptersSubDetails.asp?FormularySectionID=6&amp;SubSectionRef=06.01.02.03&amp;SubSectionID=C100" TargetMode="External"/><Relationship Id="rIdfx2vam9bgtnohskaflado" Type="http://schemas.openxmlformats.org/officeDocument/2006/relationships/hyperlink" Target="https://www.bma.org.uk/advice-and-support/gp-practices/prescribing/prescribing-in-general-practice/focus-on-semaglutide-wegovy-in-general-practic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2026-10-05T13:41:02.429Z</dcterms:created>
  <dcterms:modified xsi:type="dcterms:W3CDTF">2026-10-05T13:41:02.433Z</dcterms:modified>
</cp:coreProperties>
</file>

<file path=docProps/custom.xml><?xml version="1.0" encoding="utf-8"?>
<Properties xmlns="http://schemas.openxmlformats.org/officeDocument/2006/custom-properties" xmlns:vt="http://schemas.openxmlformats.org/officeDocument/2006/docPropsVTypes"/>
</file>