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15632" w14:textId="77777777" w:rsidR="008E1CF2" w:rsidRDefault="008E1CF2">
      <w:pPr>
        <w:spacing w:before="6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8E1CF2" w14:paraId="48879928" w14:textId="77777777">
        <w:tblPrEx>
          <w:tblCellMar>
            <w:top w:w="0" w:type="dxa"/>
            <w:bottom w:w="0" w:type="dxa"/>
          </w:tblCellMar>
        </w:tblPrEx>
        <w:tc>
          <w:tcPr>
            <w:tcW w:w="0" w:type="auto"/>
            <w:tcBorders>
              <w:top w:val="single" w:sz="1" w:space="0" w:color="FFFFFF"/>
              <w:left w:val="single" w:sz="1" w:space="0" w:color="FFFFFF"/>
              <w:bottom w:val="single" w:sz="1" w:space="0" w:color="FFFFFF"/>
              <w:right w:val="single" w:sz="1" w:space="0" w:color="FFFFFF"/>
            </w:tcBorders>
            <w:shd w:val="clear" w:color="auto" w:fill="1F4E79"/>
            <w:tcMar>
              <w:top w:w="0" w:type="dxa"/>
              <w:left w:w="0" w:type="dxa"/>
              <w:bottom w:w="0" w:type="dxa"/>
              <w:right w:w="0" w:type="dxa"/>
            </w:tcMar>
          </w:tcPr>
          <w:p w14:paraId="1AE46F1E" w14:textId="77777777" w:rsidR="008E1CF2" w:rsidRDefault="00000000">
            <w:r>
              <w:rPr>
                <w:sz w:val="6"/>
                <w:szCs w:val="6"/>
              </w:rPr>
              <w:t xml:space="preserve"> </w:t>
            </w:r>
          </w:p>
        </w:tc>
      </w:tr>
    </w:tbl>
    <w:p w14:paraId="150B6368" w14:textId="77777777" w:rsidR="008E1CF2" w:rsidRDefault="008E1CF2">
      <w:pPr>
        <w:spacing w:after="400"/>
      </w:pPr>
    </w:p>
    <w:p w14:paraId="70F15862" w14:textId="77777777" w:rsidR="008E1CF2" w:rsidRDefault="00000000">
      <w:pPr>
        <w:jc w:val="center"/>
      </w:pPr>
      <w:r>
        <w:rPr>
          <w:color w:val="666666"/>
          <w:sz w:val="28"/>
          <w:szCs w:val="28"/>
        </w:rPr>
        <w:t>Summary</w:t>
      </w:r>
    </w:p>
    <w:p w14:paraId="75D88C01" w14:textId="77777777" w:rsidR="008E1CF2" w:rsidRDefault="008E1CF2">
      <w:pPr>
        <w:spacing w:after="200"/>
      </w:pPr>
    </w:p>
    <w:p w14:paraId="0F7FEB7E" w14:textId="77777777" w:rsidR="008E1CF2" w:rsidRDefault="00000000">
      <w:pPr>
        <w:jc w:val="center"/>
      </w:pPr>
      <w:r>
        <w:rPr>
          <w:b/>
          <w:bCs/>
          <w:color w:val="1F4E79"/>
          <w:sz w:val="40"/>
          <w:szCs w:val="40"/>
        </w:rPr>
        <w:t>Impact Statement for the</w:t>
      </w:r>
    </w:p>
    <w:p w14:paraId="3979EE41" w14:textId="77777777" w:rsidR="008E1CF2" w:rsidRDefault="00000000">
      <w:pPr>
        <w:jc w:val="center"/>
      </w:pPr>
      <w:r>
        <w:rPr>
          <w:b/>
          <w:bCs/>
          <w:color w:val="1F4E79"/>
          <w:sz w:val="48"/>
          <w:szCs w:val="48"/>
        </w:rPr>
        <w:t>10 Year Health Plan</w:t>
      </w:r>
    </w:p>
    <w:p w14:paraId="15B61745" w14:textId="77777777" w:rsidR="008E1CF2" w:rsidRDefault="008E1CF2">
      <w:pPr>
        <w:spacing w:after="200"/>
      </w:pPr>
    </w:p>
    <w:p w14:paraId="05A77BE0" w14:textId="77777777" w:rsidR="008E1CF2" w:rsidRDefault="00000000">
      <w:pPr>
        <w:jc w:val="center"/>
      </w:pPr>
      <w:r>
        <w:rPr>
          <w:color w:val="2E75B6"/>
          <w:sz w:val="26"/>
          <w:szCs w:val="26"/>
        </w:rPr>
        <w:t>England</w:t>
      </w:r>
    </w:p>
    <w:p w14:paraId="0547F0A2" w14:textId="77777777" w:rsidR="008E1CF2" w:rsidRDefault="008E1CF2">
      <w:pPr>
        <w:spacing w:after="4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8E1CF2" w14:paraId="462D2BBD" w14:textId="77777777">
        <w:tblPrEx>
          <w:tblCellMar>
            <w:top w:w="0" w:type="dxa"/>
            <w:bottom w:w="0" w:type="dxa"/>
          </w:tblCellMar>
        </w:tblPrEx>
        <w:tc>
          <w:tcPr>
            <w:tcW w:w="0" w:type="auto"/>
            <w:tcBorders>
              <w:top w:val="single" w:sz="1" w:space="0" w:color="FFFFFF"/>
              <w:left w:val="single" w:sz="1" w:space="0" w:color="FFFFFF"/>
              <w:bottom w:val="single" w:sz="1" w:space="0" w:color="FFFFFF"/>
              <w:right w:val="single" w:sz="1" w:space="0" w:color="FFFFFF"/>
            </w:tcBorders>
            <w:shd w:val="clear" w:color="auto" w:fill="2E75B6"/>
            <w:tcMar>
              <w:top w:w="0" w:type="dxa"/>
              <w:left w:w="0" w:type="dxa"/>
              <w:bottom w:w="0" w:type="dxa"/>
              <w:right w:w="0" w:type="dxa"/>
            </w:tcMar>
          </w:tcPr>
          <w:p w14:paraId="33E7296E" w14:textId="77777777" w:rsidR="008E1CF2" w:rsidRDefault="00000000">
            <w:r>
              <w:rPr>
                <w:sz w:val="6"/>
                <w:szCs w:val="6"/>
              </w:rPr>
              <w:t xml:space="preserve"> </w:t>
            </w:r>
          </w:p>
        </w:tc>
      </w:tr>
    </w:tbl>
    <w:p w14:paraId="4DF3D623" w14:textId="77777777" w:rsidR="008E1CF2" w:rsidRDefault="008E1CF2">
      <w:pPr>
        <w:spacing w:after="400"/>
      </w:pPr>
    </w:p>
    <w:p w14:paraId="1E6AECCF" w14:textId="77777777" w:rsidR="008E1CF2" w:rsidRDefault="00000000">
      <w:pPr>
        <w:spacing w:after="80"/>
        <w:jc w:val="center"/>
      </w:pPr>
      <w:r>
        <w:rPr>
          <w:color w:val="666666"/>
        </w:rPr>
        <w:t>Published January 2026</w:t>
      </w:r>
    </w:p>
    <w:p w14:paraId="070B90DA" w14:textId="77777777" w:rsidR="008E1CF2" w:rsidRDefault="00000000">
      <w:pPr>
        <w:spacing w:after="500"/>
        <w:jc w:val="center"/>
      </w:pPr>
      <w:r>
        <w:rPr>
          <w:color w:val="888888"/>
          <w:sz w:val="20"/>
          <w:szCs w:val="20"/>
        </w:rPr>
        <w:t>Department of Health and Social Care</w:t>
      </w:r>
    </w:p>
    <w:p w14:paraId="61C0B1E4" w14:textId="77777777" w:rsidR="008E1CF2" w:rsidRDefault="00000000">
      <w:pPr>
        <w:spacing w:after="200"/>
      </w:pPr>
      <w:r>
        <w:t>This summary provides a comprehensive analysis of the 81-page Impact Statement in three parts. Part 1 offers an executive summary of the plan's three shifts, system enablers, and critical risks, followed by 10 key points with supporting data. Part 2 provides a focused analysis for general practice, extracting all GP-relevant content with five strategic takeaways. Part 3 offers a critical reading of the document itself—examining what it reveals about the plan's readiness for implementation.</w:t>
      </w:r>
    </w:p>
    <w:p w14:paraId="38756899" w14:textId="77777777" w:rsidR="008E1CF2" w:rsidRDefault="00000000">
      <w:pPr>
        <w:spacing w:after="200"/>
      </w:pPr>
      <w:r>
        <w:t xml:space="preserve">Throughout this analysis, we draw attention to the Impact Statement's own language. The document is notable for its candour about uncertainties, evidence gaps, and delivery risks. </w:t>
      </w:r>
      <w:r>
        <w:rPr>
          <w:b/>
          <w:bCs/>
        </w:rPr>
        <w:t>These caveats are not incidental—they constitute a significant part of the document's message, and readers should weigh them accordingly.</w:t>
      </w:r>
    </w:p>
    <w:p w14:paraId="0B3A7739" w14:textId="77777777" w:rsidR="008E1CF2" w:rsidRDefault="0000000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92"/>
      </w:tblGrid>
      <w:tr w:rsidR="008E1CF2" w14:paraId="5D6E49FC" w14:textId="77777777">
        <w:tblPrEx>
          <w:tblCellMar>
            <w:top w:w="0" w:type="dxa"/>
            <w:bottom w:w="0" w:type="dxa"/>
          </w:tblCellMar>
        </w:tblPrEx>
        <w:tc>
          <w:tcPr>
            <w:tcW w:w="0" w:type="auto"/>
            <w:tcBorders>
              <w:top w:val="single" w:sz="1" w:space="0" w:color="FFFFFF"/>
              <w:left w:val="single" w:sz="36" w:space="0" w:color="1F4E79"/>
              <w:bottom w:val="single" w:sz="1" w:space="0" w:color="FFFFFF"/>
              <w:right w:val="single" w:sz="1" w:space="0" w:color="FFFFFF"/>
            </w:tcBorders>
            <w:shd w:val="clear" w:color="auto" w:fill="FFFFFF"/>
            <w:tcMar>
              <w:top w:w="150" w:type="dxa"/>
              <w:left w:w="200" w:type="dxa"/>
              <w:bottom w:w="150" w:type="dxa"/>
              <w:right w:w="100" w:type="dxa"/>
            </w:tcMar>
          </w:tcPr>
          <w:p w14:paraId="5CFC7DAD" w14:textId="77777777" w:rsidR="008E1CF2" w:rsidRDefault="00000000">
            <w:r>
              <w:rPr>
                <w:b/>
                <w:bCs/>
                <w:color w:val="1F4E79"/>
                <w:sz w:val="28"/>
                <w:szCs w:val="28"/>
              </w:rPr>
              <w:lastRenderedPageBreak/>
              <w:t>PART 1: EXECUTIVE SUMMARY</w:t>
            </w:r>
          </w:p>
        </w:tc>
      </w:tr>
    </w:tbl>
    <w:p w14:paraId="6B193737" w14:textId="77777777" w:rsidR="008E1CF2" w:rsidRDefault="008E1CF2">
      <w:pPr>
        <w:spacing w:after="250"/>
      </w:pPr>
    </w:p>
    <w:p w14:paraId="41681DAF" w14:textId="77777777" w:rsidR="008E1CF2" w:rsidRDefault="00000000">
      <w:pPr>
        <w:pStyle w:val="Heading2"/>
      </w:pPr>
      <w:r>
        <w:t>Overview</w:t>
      </w:r>
    </w:p>
    <w:p w14:paraId="5247A135" w14:textId="77777777" w:rsidR="008E1CF2" w:rsidRDefault="00000000">
      <w:pPr>
        <w:spacing w:after="200"/>
      </w:pPr>
      <w:r>
        <w:t>The Impact Statement accompanying the 10 Year Health Plan for England represents the most comprehensive reform blueprint for the NHS since its foundation. Published by the Department of Health and Social Care in January 2026, this 81-page document outlines the rationale, potential costs, benefits, and risks of transforming England's health service around three fundamental shifts: from hospital to community, from analogue to digital, and from sickness to prevention.</w:t>
      </w:r>
    </w:p>
    <w:p w14:paraId="210057E8" w14:textId="77777777" w:rsidR="008E1CF2" w:rsidRDefault="00000000">
      <w:pPr>
        <w:spacing w:after="200"/>
      </w:pPr>
      <w:r>
        <w:t xml:space="preserve">However, readers should note at the outset that this is an unusual document. Impact assessments typically evaluate settled policies with defined delivery models and robust cost estimates. This one repeatedly acknowledges that </w:t>
      </w:r>
      <w:r>
        <w:rPr>
          <w:i/>
          <w:iCs/>
        </w:rPr>
        <w:t>proposals remain 'high-level,' delivery models are 'not yet designed,' and costs 'cannot yet be robustly estimated.'</w:t>
      </w:r>
      <w:r>
        <w:t xml:space="preserve"> These caveats matter, and we highlight them throughout this summary.</w:t>
      </w:r>
    </w:p>
    <w:p w14:paraId="2539171B" w14:textId="77777777" w:rsidR="008E1CF2" w:rsidRDefault="00000000">
      <w:pPr>
        <w:pStyle w:val="Heading2"/>
      </w:pPr>
      <w:r>
        <w:t>The Three Shifts</w:t>
      </w:r>
    </w:p>
    <w:p w14:paraId="1A3826A6" w14:textId="77777777" w:rsidR="008E1CF2" w:rsidRDefault="00000000">
      <w:pPr>
        <w:pStyle w:val="Heading3"/>
      </w:pPr>
      <w:r>
        <w:t>Shift 1: Hospital to Community</w:t>
      </w:r>
    </w:p>
    <w:p w14:paraId="772F7ED9" w14:textId="77777777" w:rsidR="008E1CF2" w:rsidRDefault="00000000">
      <w:pPr>
        <w:spacing w:after="200"/>
      </w:pPr>
      <w:r>
        <w:t>The centrepiece of the plan is the Neighbourhood Health Service, organising care around populations of approximately 50,000 people. This model brings together GPs, community pharmacists, mental health practitioners, and social care staff in multidisciplinary teams (MDTs), operating from new Neighbourhood Health Centres (NHCs) with extended opening hours including evenings and weekends. Six priority patient groups are identified, together representing approximately half of England's population: 17 million adults with long-term conditions (costing £23 billion in acute care annually); 0.4 million care home residents plus 0.5 million frail over-75s; 0.9 million needing palliative care; 0.7 million with severe mental illness; 0.6 million with learning or physical disabilities; and 13 million expectant mothers and children.</w:t>
      </w:r>
    </w:p>
    <w:p w14:paraId="74225526" w14:textId="77777777" w:rsidR="008E1CF2" w:rsidRDefault="00000000">
      <w:pPr>
        <w:spacing w:after="200"/>
      </w:pPr>
      <w:r>
        <w:t>The economic logic is that proactive community-based care for these groups will reduce expensive hospital admissions. However, the Impact Statement is notably cautious about the evidence base for this shift.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07"/>
      </w:tblGrid>
      <w:tr w:rsidR="008E1CF2" w14:paraId="6DD4CD27" w14:textId="77777777">
        <w:tblPrEx>
          <w:tblCellMar>
            <w:top w:w="0" w:type="dxa"/>
            <w:bottom w:w="0" w:type="dxa"/>
          </w:tblCellMar>
        </w:tblPrEx>
        <w:tc>
          <w:tcPr>
            <w:tcW w:w="0" w:type="auto"/>
            <w:tcBorders>
              <w:top w:val="single" w:sz="1" w:space="0" w:color="FFFFFF"/>
              <w:left w:val="single" w:sz="24" w:space="0" w:color="2E75B6"/>
              <w:bottom w:val="single" w:sz="1" w:space="0" w:color="FFFFFF"/>
              <w:right w:val="single" w:sz="1" w:space="0" w:color="FFFFFF"/>
            </w:tcBorders>
            <w:shd w:val="clear" w:color="auto" w:fill="F5F9FC"/>
            <w:tcMar>
              <w:top w:w="200" w:type="dxa"/>
              <w:left w:w="300" w:type="dxa"/>
              <w:bottom w:w="200" w:type="dxa"/>
              <w:right w:w="200" w:type="dxa"/>
            </w:tcMar>
          </w:tcPr>
          <w:p w14:paraId="642978A1" w14:textId="77777777" w:rsidR="008E1CF2" w:rsidRDefault="00000000">
            <w:pPr>
              <w:spacing w:after="100"/>
            </w:pPr>
            <w:r>
              <w:rPr>
                <w:rFonts w:ascii="Georgia" w:eastAsia="Georgia" w:hAnsi="Georgia" w:cs="Georgia"/>
                <w:i/>
                <w:iCs/>
                <w:color w:val="404040"/>
                <w:sz w:val="24"/>
                <w:szCs w:val="24"/>
              </w:rPr>
              <w:t>"There is only partial and mixed evidence for the effectiveness of investment in community health services to reduce hospital activity"</w:t>
            </w:r>
          </w:p>
          <w:p w14:paraId="2605B2FF" w14:textId="77777777" w:rsidR="008E1CF2" w:rsidRDefault="00000000">
            <w:pPr>
              <w:spacing w:after="100"/>
            </w:pPr>
            <w:r>
              <w:rPr>
                <w:i/>
                <w:iCs/>
                <w:color w:val="666666"/>
                <w:sz w:val="18"/>
                <w:szCs w:val="18"/>
              </w:rPr>
              <w:t>— Impact Statement, p.19</w:t>
            </w:r>
          </w:p>
          <w:p w14:paraId="43B0B9CD" w14:textId="77777777" w:rsidR="008E1CF2" w:rsidRDefault="00000000">
            <w:r>
              <w:rPr>
                <w:b/>
                <w:bCs/>
                <w:color w:val="1F4E79"/>
                <w:sz w:val="20"/>
                <w:szCs w:val="20"/>
              </w:rPr>
              <w:t>This candid acknowledgment is striking in a document supporting a flagship government policy.</w:t>
            </w:r>
          </w:p>
        </w:tc>
      </w:tr>
    </w:tbl>
    <w:p w14:paraId="17CF4FA6" w14:textId="77777777" w:rsidR="008E1CF2" w:rsidRDefault="008E1CF2">
      <w:pPr>
        <w:spacing w:after="200"/>
      </w:pPr>
    </w:p>
    <w:p w14:paraId="072F5E29" w14:textId="77777777" w:rsidR="008E1CF2" w:rsidRDefault="00000000">
      <w:pPr>
        <w:spacing w:after="200"/>
      </w:pPr>
      <w:r>
        <w:t>The document cites the NHS Confederation finding that systems investing more in community care saw 15% lower non-elective admissions. But it also notes that the Nuffield Trust found 'mixed impacts'—some initiatives saved money while others were 'cost neutral or increased costs.' The Health Foundation found that MDTs 'did not reduce emergency hospital use and may even lead to short-term increases,' with benefits taking 2-6 years to emerge. Previous attempts at this shift, including the Vanguards programme, saw gains 'diminish quickly once funding was stopped.'</w:t>
      </w:r>
    </w:p>
    <w:p w14:paraId="3F3C0FFB" w14:textId="77777777" w:rsidR="008E1CF2" w:rsidRDefault="00000000">
      <w:pPr>
        <w:spacing w:after="200"/>
      </w:pPr>
      <w:r>
        <w:rPr>
          <w:b/>
          <w:bCs/>
        </w:rPr>
        <w:t xml:space="preserve">The implication is clear: the hospital-to-community shift is a long-term endeavour with uncertain returns, requiring sustained investment over many years. </w:t>
      </w:r>
      <w:r>
        <w:t>The plan's success depends on maintaining political and financial commitment through periods when costs are rising but benefits have not yet materialised.</w:t>
      </w:r>
    </w:p>
    <w:p w14:paraId="6EDF6046" w14:textId="77777777" w:rsidR="00600662" w:rsidRDefault="00600662">
      <w:pPr>
        <w:pStyle w:val="Heading3"/>
      </w:pPr>
    </w:p>
    <w:p w14:paraId="7E3DD5CA" w14:textId="3DE3FFF6" w:rsidR="008E1CF2" w:rsidRDefault="00000000">
      <w:pPr>
        <w:pStyle w:val="Heading3"/>
      </w:pPr>
      <w:r>
        <w:lastRenderedPageBreak/>
        <w:t>Shift 2: Analogue to Digital</w:t>
      </w:r>
    </w:p>
    <w:p w14:paraId="253F9CC5" w14:textId="77777777" w:rsidR="008E1CF2" w:rsidRDefault="00000000">
      <w:pPr>
        <w:spacing w:after="200"/>
      </w:pPr>
      <w:r>
        <w:t>A Single Patient Record (SPR) will provide universal access across all care settings, incorporating hospital records, social care data, social risk assessments, and wearable device data. The NHS App will become a 24/7 gateway to healthcare with medicine management, appointment booking, and care plan access. AI will be deployed for diagnostics, ambient voice technology for clinical documentation, and automation for administrative tasks.</w:t>
      </w:r>
    </w:p>
    <w:p w14:paraId="146E0B1C" w14:textId="77777777" w:rsidR="008E1CF2" w:rsidRDefault="00000000">
      <w:pPr>
        <w:spacing w:after="200"/>
      </w:pPr>
      <w:r>
        <w:t>The efficiency potential is significant. NHS Trusts have already improved activity by 26% while increasing workforce by only 8%, partly through diagnostic technologies. AI in CT colonography is being piloted across half of English hospitals; full deployment could deliver an additional 555,000 X-ray reports and 80,000 CT reports annually. Ambient voice technology at Calderdale and Huddersfield saved 2,500 hours in six months.</w:t>
      </w:r>
    </w:p>
    <w:p w14:paraId="5CACE6F8" w14:textId="77777777" w:rsidR="008E1CF2" w:rsidRDefault="00000000">
      <w:pPr>
        <w:spacing w:after="200"/>
      </w:pPr>
      <w:r>
        <w:t>Yet here too, the document signals significant uncertainty about delivery timelines.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07"/>
      </w:tblGrid>
      <w:tr w:rsidR="008E1CF2" w14:paraId="1EB3D8BD" w14:textId="77777777">
        <w:tblPrEx>
          <w:tblCellMar>
            <w:top w:w="0" w:type="dxa"/>
            <w:bottom w:w="0" w:type="dxa"/>
          </w:tblCellMar>
        </w:tblPrEx>
        <w:tc>
          <w:tcPr>
            <w:tcW w:w="0" w:type="auto"/>
            <w:tcBorders>
              <w:top w:val="single" w:sz="1" w:space="0" w:color="FFFFFF"/>
              <w:left w:val="single" w:sz="24" w:space="0" w:color="2E75B6"/>
              <w:bottom w:val="single" w:sz="1" w:space="0" w:color="FFFFFF"/>
              <w:right w:val="single" w:sz="1" w:space="0" w:color="FFFFFF"/>
            </w:tcBorders>
            <w:shd w:val="clear" w:color="auto" w:fill="F5F9FC"/>
            <w:tcMar>
              <w:top w:w="200" w:type="dxa"/>
              <w:left w:w="300" w:type="dxa"/>
              <w:bottom w:w="200" w:type="dxa"/>
              <w:right w:w="200" w:type="dxa"/>
            </w:tcMar>
          </w:tcPr>
          <w:p w14:paraId="7025A1F7" w14:textId="77777777" w:rsidR="008E1CF2" w:rsidRDefault="00000000">
            <w:pPr>
              <w:spacing w:after="100"/>
            </w:pPr>
            <w:r>
              <w:rPr>
                <w:rFonts w:ascii="Georgia" w:eastAsia="Georgia" w:hAnsi="Georgia" w:cs="Georgia"/>
                <w:i/>
                <w:iCs/>
                <w:color w:val="404040"/>
                <w:sz w:val="24"/>
                <w:szCs w:val="24"/>
              </w:rPr>
              <w:t>"76% of doctors ranked interoperability as a 'significant barrier' to digital transformation, and 68% are 'not very confident' seamless data sharing will be reality in 10 years"</w:t>
            </w:r>
          </w:p>
          <w:p w14:paraId="6EC373D1" w14:textId="77777777" w:rsidR="008E1CF2" w:rsidRDefault="00000000">
            <w:pPr>
              <w:spacing w:after="100"/>
            </w:pPr>
            <w:r>
              <w:rPr>
                <w:i/>
                <w:iCs/>
                <w:color w:val="666666"/>
                <w:sz w:val="18"/>
                <w:szCs w:val="18"/>
              </w:rPr>
              <w:t>— BMA Survey, cited in Impact Statement</w:t>
            </w:r>
          </w:p>
          <w:p w14:paraId="5B3F1920" w14:textId="77777777" w:rsidR="008E1CF2" w:rsidRDefault="00000000">
            <w:r>
              <w:rPr>
                <w:b/>
                <w:bCs/>
                <w:color w:val="1F4E79"/>
                <w:sz w:val="20"/>
                <w:szCs w:val="20"/>
              </w:rPr>
              <w:t>The workforce responsible for delivering this transformation has serious doubts about achievability.</w:t>
            </w:r>
          </w:p>
        </w:tc>
      </w:tr>
    </w:tbl>
    <w:p w14:paraId="748E84A7" w14:textId="77777777" w:rsidR="008E1CF2" w:rsidRDefault="008E1CF2">
      <w:pPr>
        <w:spacing w:after="200"/>
      </w:pPr>
    </w:p>
    <w:p w14:paraId="1A83EB23" w14:textId="77777777" w:rsidR="008E1CF2" w:rsidRDefault="00000000">
      <w:pPr>
        <w:spacing w:after="200"/>
      </w:pPr>
      <w:r>
        <w:t>The document acknowledges that while most GP practices have cloud-based telephony, online consultation platforms, and appointment booking systems, 'there is variation in quality and capability.' Digital care navigation tools and AI chatbots will be integrated into GP telephony systems, but the pace of adoption remains uncertain.</w:t>
      </w:r>
    </w:p>
    <w:p w14:paraId="51E069EB" w14:textId="77777777" w:rsidR="008E1CF2" w:rsidRDefault="00000000">
      <w:pPr>
        <w:pStyle w:val="Heading3"/>
      </w:pPr>
      <w:r>
        <w:t>Shift 3: Sickness to Prevention</w:t>
      </w:r>
    </w:p>
    <w:p w14:paraId="294C2BCC" w14:textId="77777777" w:rsidR="008E1CF2" w:rsidRDefault="00000000">
      <w:pPr>
        <w:spacing w:after="200"/>
      </w:pPr>
      <w:r>
        <w:t>Over one in five deaths in England and Wales in 2022 were avoidable. The plan targets obesity through mandatory healthy food sales reporting for large retailers, updated nutrient profiling for advertising restrictions, and expanded Healthy Start payments. Alcohol labelling will be strengthened with calorie and Chief Medical Officer guidance. Individual Placement and Support schemes will be expanded, and mental health support teams will achieve national coverage in schools.</w:t>
      </w:r>
    </w:p>
    <w:p w14:paraId="6A38F943" w14:textId="77777777" w:rsidR="008E1CF2" w:rsidRDefault="00000000">
      <w:pPr>
        <w:spacing w:after="200"/>
      </w:pPr>
      <w:r>
        <w:t>The economic case for prevention is the strongest in the document. A 20% reduction in six major disease categories could raise GDP by £19.8 billion within five years. Nesta estimates that halving chronic condition growth could avoid £200 billion in health spending by 2040. Healthy food targets for large retailers could reduce childhood obesity by 340,000 and adult obesity by 2 million.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07"/>
      </w:tblGrid>
      <w:tr w:rsidR="008E1CF2" w14:paraId="59C75A7E" w14:textId="77777777">
        <w:tblPrEx>
          <w:tblCellMar>
            <w:top w:w="0" w:type="dxa"/>
            <w:bottom w:w="0" w:type="dxa"/>
          </w:tblCellMar>
        </w:tblPrEx>
        <w:tc>
          <w:tcPr>
            <w:tcW w:w="0" w:type="auto"/>
            <w:tcBorders>
              <w:top w:val="single" w:sz="1" w:space="0" w:color="FFFFFF"/>
              <w:left w:val="single" w:sz="24" w:space="0" w:color="2E75B6"/>
              <w:bottom w:val="single" w:sz="1" w:space="0" w:color="FFFFFF"/>
              <w:right w:val="single" w:sz="1" w:space="0" w:color="FFFFFF"/>
            </w:tcBorders>
            <w:shd w:val="clear" w:color="auto" w:fill="F5F9FC"/>
            <w:tcMar>
              <w:top w:w="200" w:type="dxa"/>
              <w:left w:w="300" w:type="dxa"/>
              <w:bottom w:w="200" w:type="dxa"/>
              <w:right w:w="200" w:type="dxa"/>
            </w:tcMar>
          </w:tcPr>
          <w:p w14:paraId="26BF7C79" w14:textId="77777777" w:rsidR="008E1CF2" w:rsidRDefault="00000000">
            <w:pPr>
              <w:spacing w:after="100"/>
            </w:pPr>
            <w:r>
              <w:rPr>
                <w:rFonts w:ascii="Georgia" w:eastAsia="Georgia" w:hAnsi="Georgia" w:cs="Georgia"/>
                <w:i/>
                <w:iCs/>
                <w:color w:val="404040"/>
                <w:sz w:val="24"/>
                <w:szCs w:val="24"/>
              </w:rPr>
              <w:t>"Applying known, evidence-based preventative interventions earlier and more broadly could add around 20 healthy days per person, per year, unlocking around £320 billion rise in GDP over 20 years"</w:t>
            </w:r>
          </w:p>
          <w:p w14:paraId="1B16EE79" w14:textId="77777777" w:rsidR="008E1CF2" w:rsidRDefault="00000000">
            <w:r>
              <w:rPr>
                <w:i/>
                <w:iCs/>
                <w:color w:val="666666"/>
                <w:sz w:val="18"/>
                <w:szCs w:val="18"/>
              </w:rPr>
              <w:t>— Impact Statement, p.23</w:t>
            </w:r>
          </w:p>
        </w:tc>
      </w:tr>
    </w:tbl>
    <w:p w14:paraId="4FE77900" w14:textId="77777777" w:rsidR="008E1CF2" w:rsidRDefault="008E1CF2">
      <w:pPr>
        <w:spacing w:after="200"/>
      </w:pPr>
    </w:p>
    <w:p w14:paraId="7E19DE0C" w14:textId="77777777" w:rsidR="008E1CF2" w:rsidRDefault="00000000">
      <w:pPr>
        <w:spacing w:after="200"/>
      </w:pPr>
      <w:r>
        <w:t xml:space="preserve">However, even here there are important caveats. Prevention benefits accrue over decades, not electoral cycles. The document notes that </w:t>
      </w:r>
      <w:r>
        <w:rPr>
          <w:i/>
          <w:iCs/>
        </w:rPr>
        <w:t>'further assessment of economic impacts will be undertaken as policy development progresses'</w:t>
      </w:r>
      <w:r>
        <w:t>—an acknowledgment that much of the prevention agenda remains at early stages of design.</w:t>
      </w:r>
    </w:p>
    <w:p w14:paraId="41686586" w14:textId="77777777" w:rsidR="008E1CF2" w:rsidRDefault="00000000">
      <w:r>
        <w:br w:type="page"/>
      </w:r>
    </w:p>
    <w:p w14:paraId="5D0BA68F" w14:textId="77777777" w:rsidR="008E1CF2" w:rsidRDefault="00000000">
      <w:pPr>
        <w:pStyle w:val="Heading2"/>
      </w:pPr>
      <w:r>
        <w:lastRenderedPageBreak/>
        <w:t>System Enablers</w:t>
      </w:r>
    </w:p>
    <w:p w14:paraId="2301B6D5" w14:textId="77777777" w:rsidR="008E1CF2" w:rsidRDefault="00000000">
      <w:pPr>
        <w:pStyle w:val="Heading3"/>
      </w:pPr>
      <w:r>
        <w:t>Operating Model</w:t>
      </w:r>
    </w:p>
    <w:p w14:paraId="13CFDF06" w14:textId="77777777" w:rsidR="008E1CF2" w:rsidRDefault="00000000">
      <w:pPr>
        <w:spacing w:after="200"/>
      </w:pPr>
      <w:r>
        <w:t>The plan proposes significant structural change. ICBs will be reduced from 42 to fewer boards, with NHS England abolished and functions absorbed into DHSC. A reinvigorated Foundation Trust model will give high performers greater autonomy and capital freedoms—currently 143 of 205 provider trusts have FT status, with the intention that all trusts achieve this over 10 years through a rigorous reauthorisation process. A new failure regime will address poor performance, with regional teams sitting between the centre and ICBs.</w:t>
      </w:r>
    </w:p>
    <w:p w14:paraId="28ABB442" w14:textId="77777777" w:rsidR="008E1CF2" w:rsidRDefault="00000000">
      <w:pPr>
        <w:spacing w:after="200"/>
      </w:pPr>
      <w:r>
        <w:t xml:space="preserve">A new </w:t>
      </w:r>
      <w:r>
        <w:rPr>
          <w:b/>
          <w:bCs/>
        </w:rPr>
        <w:t>Choice Charter</w:t>
      </w:r>
      <w:r>
        <w:t xml:space="preserve"> will give patients more power and control, including control over their data and budgets, direct referrals for diagnostic services, and choice of elective provider. The provision for direct diagnostic referrals represents a significant shift in the traditional GP gatekeeper role—patients will be able to access some diagnostic pathways without GP referral.</w:t>
      </w:r>
    </w:p>
    <w:p w14:paraId="5E2F21F7" w14:textId="77777777" w:rsidR="008E1CF2" w:rsidRDefault="00000000">
      <w:pPr>
        <w:spacing w:after="200"/>
      </w:pPr>
      <w:r>
        <w:t>The document acknowledges a significant tension in this restructuring.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07"/>
      </w:tblGrid>
      <w:tr w:rsidR="008E1CF2" w14:paraId="434BB011" w14:textId="77777777">
        <w:tblPrEx>
          <w:tblCellMar>
            <w:top w:w="0" w:type="dxa"/>
            <w:bottom w:w="0" w:type="dxa"/>
          </w:tblCellMar>
        </w:tblPrEx>
        <w:tc>
          <w:tcPr>
            <w:tcW w:w="0" w:type="auto"/>
            <w:tcBorders>
              <w:top w:val="single" w:sz="1" w:space="0" w:color="FFFFFF"/>
              <w:left w:val="single" w:sz="24" w:space="0" w:color="2E75B6"/>
              <w:bottom w:val="single" w:sz="1" w:space="0" w:color="FFFFFF"/>
              <w:right w:val="single" w:sz="1" w:space="0" w:color="FFFFFF"/>
            </w:tcBorders>
            <w:shd w:val="clear" w:color="auto" w:fill="F5F9FC"/>
            <w:tcMar>
              <w:top w:w="200" w:type="dxa"/>
              <w:left w:w="300" w:type="dxa"/>
              <w:bottom w:w="200" w:type="dxa"/>
              <w:right w:w="200" w:type="dxa"/>
            </w:tcMar>
          </w:tcPr>
          <w:p w14:paraId="5136E057" w14:textId="77777777" w:rsidR="008E1CF2" w:rsidRDefault="00000000">
            <w:pPr>
              <w:spacing w:after="100"/>
            </w:pPr>
            <w:r>
              <w:rPr>
                <w:rFonts w:ascii="Georgia" w:eastAsia="Georgia" w:hAnsi="Georgia" w:cs="Georgia"/>
                <w:i/>
                <w:iCs/>
                <w:color w:val="404040"/>
                <w:sz w:val="24"/>
                <w:szCs w:val="24"/>
              </w:rPr>
              <w:t>"ICB headcount will be reduced by 50%, equivalent to 12,500 posts... this could limit their capacity to provide the necessary strategic leadership to drive this change"</w:t>
            </w:r>
          </w:p>
          <w:p w14:paraId="41493AC1" w14:textId="77777777" w:rsidR="008E1CF2" w:rsidRDefault="00000000">
            <w:pPr>
              <w:spacing w:after="100"/>
            </w:pPr>
            <w:r>
              <w:rPr>
                <w:i/>
                <w:iCs/>
                <w:color w:val="666666"/>
                <w:sz w:val="18"/>
                <w:szCs w:val="18"/>
              </w:rPr>
              <w:t>— Impact Statement, p.48</w:t>
            </w:r>
          </w:p>
          <w:p w14:paraId="315FCD17" w14:textId="77777777" w:rsidR="008E1CF2" w:rsidRDefault="00000000">
            <w:r>
              <w:rPr>
                <w:b/>
                <w:bCs/>
                <w:color w:val="1F4E79"/>
                <w:sz w:val="20"/>
                <w:szCs w:val="20"/>
              </w:rPr>
              <w:t>The organisations responsible for leading transformation are simultaneously being halved in size.</w:t>
            </w:r>
          </w:p>
        </w:tc>
      </w:tr>
    </w:tbl>
    <w:p w14:paraId="49AE454E" w14:textId="77777777" w:rsidR="008E1CF2" w:rsidRDefault="008E1CF2">
      <w:pPr>
        <w:spacing w:after="200"/>
      </w:pPr>
    </w:p>
    <w:p w14:paraId="3DA5A5F7" w14:textId="77777777" w:rsidR="008E1CF2" w:rsidRDefault="00000000">
      <w:pPr>
        <w:spacing w:after="200"/>
      </w:pPr>
      <w:r>
        <w:t xml:space="preserve">This is a critical risk. The bodies tasked with implementing the most ambitious NHS reform in decades will be undergoing major restructuring at the same time. The document does not resolve this tension; </w:t>
      </w:r>
      <w:r>
        <w:rPr>
          <w:i/>
          <w:iCs/>
        </w:rPr>
        <w:t>it simply records it.</w:t>
      </w:r>
    </w:p>
    <w:p w14:paraId="16DCCC66" w14:textId="77777777" w:rsidR="008E1CF2" w:rsidRDefault="00000000">
      <w:pPr>
        <w:pStyle w:val="Heading3"/>
      </w:pPr>
      <w:r>
        <w:t>Quality and Transparency</w:t>
      </w:r>
    </w:p>
    <w:p w14:paraId="2F9A2C76" w14:textId="77777777" w:rsidR="008E1CF2" w:rsidRDefault="00000000">
      <w:pPr>
        <w:spacing w:after="200"/>
      </w:pPr>
      <w:r>
        <w:t>Patient-reported outcome measures (PROMs) and experience measures (PREMs) will be expanded and published. The National Quality Board is revitalised with new responsibilities. HSSIB will merge into CQC, with the Patient Safety Commissioner moving to MHRA. 'Patient Power Payments' will trial linking a portion of provider tariffs to patient satisfaction—an innovative but untested approach to incentivising quality.</w:t>
      </w:r>
    </w:p>
    <w:p w14:paraId="48A888AD" w14:textId="77777777" w:rsidR="008E1CF2" w:rsidRDefault="00000000">
      <w:pPr>
        <w:pStyle w:val="Heading3"/>
      </w:pPr>
      <w:r>
        <w:t>Workforce</w:t>
      </w:r>
    </w:p>
    <w:p w14:paraId="04903E93" w14:textId="77777777" w:rsidR="008E1CF2" w:rsidRDefault="00000000">
      <w:pPr>
        <w:spacing w:after="200"/>
      </w:pPr>
      <w:r>
        <w:t xml:space="preserve">New Staff Standards will underpin improved working conditions, flexible working arrangements, and occupational health services. The NHS Graduate Management Training Scheme will expand by 50%. A new 10 Year Workforce Plan will replace the existing long-term workforce plan. The document notes that staff engagement is </w:t>
      </w:r>
      <w:proofErr w:type="gramStart"/>
      <w:r>
        <w:t>critical—surveys</w:t>
      </w:r>
      <w:proofErr w:type="gramEnd"/>
      <w:r>
        <w:t xml:space="preserve"> show broad workforce support for the three shifts, but maintaining morale during a decade of disruption will be essential.</w:t>
      </w:r>
    </w:p>
    <w:p w14:paraId="2CBD4C32" w14:textId="77777777" w:rsidR="008E1CF2" w:rsidRDefault="00000000">
      <w:pPr>
        <w:spacing w:after="200"/>
      </w:pPr>
      <w:r>
        <w:t xml:space="preserve">Alongside these supportive measures, the plan introduces a harder accountability regime for senior leaders. Legislation will be brought forward to </w:t>
      </w:r>
      <w:r>
        <w:rPr>
          <w:b/>
          <w:bCs/>
        </w:rPr>
        <w:t>disbar senior leaders from NHS roles where they are found to have behaved unacceptably</w:t>
      </w:r>
      <w:r>
        <w:t>, and annual pay increases may be withheld from those not meeting required standards. This represents a significant strengthening of leadership accountability.</w:t>
      </w:r>
    </w:p>
    <w:p w14:paraId="7520D5E1" w14:textId="77777777" w:rsidR="008E1CF2" w:rsidRDefault="00000000">
      <w:pPr>
        <w:pStyle w:val="Heading3"/>
      </w:pPr>
      <w:r>
        <w:t>Innovation</w:t>
      </w:r>
    </w:p>
    <w:p w14:paraId="07BA1007" w14:textId="77777777" w:rsidR="008E1CF2" w:rsidRDefault="00000000">
      <w:pPr>
        <w:spacing w:after="200"/>
      </w:pPr>
      <w:r>
        <w:t>Five 'transformative technologies' are identified: health data, AI, genomics, wearables, and robotics. NICE's technology appraisal will expand to devices and digital products. An 'innovator passport' by 2026 will prevent repeated assessments across different NHS organisations. A single national formulary for medicines will be introduced within two years.</w:t>
      </w:r>
    </w:p>
    <w:p w14:paraId="0805969E" w14:textId="77777777" w:rsidR="008E1CF2" w:rsidRDefault="00000000">
      <w:pPr>
        <w:spacing w:after="200"/>
      </w:pPr>
      <w:r>
        <w:lastRenderedPageBreak/>
        <w:t xml:space="preserve">The digital transformation agenda serves a dual purpose. Beyond clinical efficiency, the plan explicitly links NHS data and innovation to the UK's industrial strategy. The life sciences sector drove £8.7 billion of private R&amp;D investment in 2023 (17% of total UK private R&amp;D) and attracted £5.2 billion in foreign direct investment from 2019-2023. </w:t>
      </w:r>
      <w:r>
        <w:rPr>
          <w:b/>
          <w:bCs/>
        </w:rPr>
        <w:t>The government views NHS digital infrastructure not just as a clinical enabler but as an economic engine—positioning the UK as a global leader in health innovation and attracting inward investment.</w:t>
      </w:r>
    </w:p>
    <w:p w14:paraId="596FD61B" w14:textId="77777777" w:rsidR="008E1CF2" w:rsidRDefault="00000000">
      <w:pPr>
        <w:pStyle w:val="Heading3"/>
      </w:pPr>
      <w:r>
        <w:t>Finance</w:t>
      </w:r>
    </w:p>
    <w:p w14:paraId="3275B82E" w14:textId="77777777" w:rsidR="008E1CF2" w:rsidRDefault="00000000">
      <w:pPr>
        <w:spacing w:after="200"/>
      </w:pPr>
      <w:r>
        <w:t>A new financial framework will support longer-term planning with 5-year capital allocations. Year-of-care payments will be trialled from April 2026, covering primary, community, mental health, specialist outpatient, and emergency activity in a single payment. The document notes that 18% of the population accounts for 58% of secondary care costs—understanding this distribution is critical to designing viable capitated payments.</w:t>
      </w:r>
    </w:p>
    <w:p w14:paraId="6927858A" w14:textId="77777777" w:rsidR="008E1CF2" w:rsidRDefault="00000000">
      <w:pPr>
        <w:spacing w:after="200"/>
      </w:pPr>
      <w:r>
        <w:t>The document acknowledges that historical financial incentives have conflicted with community care ambitions—tariffs in acute settings incentivise activity while block contracts in community settings incentivise the opposite. The new framework aims to address this, but key details remain to be determined.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07"/>
      </w:tblGrid>
      <w:tr w:rsidR="008E1CF2" w14:paraId="56B9FA1F" w14:textId="77777777">
        <w:tblPrEx>
          <w:tblCellMar>
            <w:top w:w="0" w:type="dxa"/>
            <w:bottom w:w="0" w:type="dxa"/>
          </w:tblCellMar>
        </w:tblPrEx>
        <w:tc>
          <w:tcPr>
            <w:tcW w:w="0" w:type="auto"/>
            <w:tcBorders>
              <w:top w:val="single" w:sz="1" w:space="0" w:color="FFFFFF"/>
              <w:left w:val="single" w:sz="24" w:space="0" w:color="2E75B6"/>
              <w:bottom w:val="single" w:sz="1" w:space="0" w:color="FFFFFF"/>
              <w:right w:val="single" w:sz="1" w:space="0" w:color="FFFFFF"/>
            </w:tcBorders>
            <w:shd w:val="clear" w:color="auto" w:fill="F5F9FC"/>
            <w:tcMar>
              <w:top w:w="200" w:type="dxa"/>
              <w:left w:w="300" w:type="dxa"/>
              <w:bottom w:w="200" w:type="dxa"/>
              <w:right w:w="200" w:type="dxa"/>
            </w:tcMar>
          </w:tcPr>
          <w:p w14:paraId="2C3AEE41" w14:textId="77777777" w:rsidR="008E1CF2" w:rsidRDefault="00000000">
            <w:pPr>
              <w:spacing w:after="100"/>
            </w:pPr>
            <w:r>
              <w:rPr>
                <w:rFonts w:ascii="Georgia" w:eastAsia="Georgia" w:hAnsi="Georgia" w:cs="Georgia"/>
                <w:i/>
                <w:iCs/>
                <w:color w:val="404040"/>
                <w:sz w:val="24"/>
                <w:szCs w:val="24"/>
              </w:rPr>
              <w:t>"A new financial framework to support the shift from hospital to community will be published in due course"</w:t>
            </w:r>
          </w:p>
          <w:p w14:paraId="6BD2F566" w14:textId="77777777" w:rsidR="008E1CF2" w:rsidRDefault="00000000">
            <w:pPr>
              <w:spacing w:after="100"/>
            </w:pPr>
            <w:r>
              <w:rPr>
                <w:i/>
                <w:iCs/>
                <w:color w:val="666666"/>
                <w:sz w:val="18"/>
                <w:szCs w:val="18"/>
              </w:rPr>
              <w:t>— Impact Statement, p.56</w:t>
            </w:r>
          </w:p>
          <w:p w14:paraId="171D3654" w14:textId="77777777" w:rsidR="008E1CF2" w:rsidRDefault="00000000">
            <w:r>
              <w:rPr>
                <w:b/>
                <w:bCs/>
                <w:color w:val="1F4E79"/>
                <w:sz w:val="20"/>
                <w:szCs w:val="20"/>
              </w:rPr>
              <w:t>The financial architecture underpinning the entire plan has not yet been designed.</w:t>
            </w:r>
          </w:p>
        </w:tc>
      </w:tr>
    </w:tbl>
    <w:p w14:paraId="37BD6DA6" w14:textId="77777777" w:rsidR="008E1CF2" w:rsidRDefault="008E1CF2">
      <w:pPr>
        <w:spacing w:after="250"/>
      </w:pPr>
    </w:p>
    <w:p w14:paraId="792452D7" w14:textId="77777777" w:rsidR="008E1CF2" w:rsidRDefault="00000000">
      <w:pPr>
        <w:pStyle w:val="Heading3"/>
      </w:pPr>
      <w:r>
        <w:t>The Productivity Challenge</w:t>
      </w:r>
    </w:p>
    <w:p w14:paraId="018B04A2" w14:textId="77777777" w:rsidR="008E1CF2" w:rsidRDefault="00000000">
      <w:pPr>
        <w:spacing w:after="200"/>
      </w:pPr>
      <w:r>
        <w:t>The plan's financial sustainability rests substantially on achieving sustained productivity improvements. The target is 2% annual productivity growth, which the document notes is 'more than double the NHS' historic average' of 0.6%. It further acknowledges that NHS productivity remains 'approximately 8% below pre-pandemic levels' despite workforce growth.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94"/>
        <w:gridCol w:w="2937"/>
        <w:gridCol w:w="3287"/>
      </w:tblGrid>
      <w:tr w:rsidR="008E1CF2" w14:paraId="31BDE745" w14:textId="77777777">
        <w:tblPrEx>
          <w:tblCellMar>
            <w:top w:w="0" w:type="dxa"/>
            <w:bottom w:w="0" w:type="dxa"/>
          </w:tblCellMar>
        </w:tblPrEx>
        <w:tc>
          <w:tcPr>
            <w:tcW w:w="0" w:type="auto"/>
            <w:tcBorders>
              <w:top w:val="single" w:sz="8" w:space="0" w:color="C62828"/>
              <w:left w:val="single" w:sz="8" w:space="0" w:color="C62828"/>
              <w:bottom w:val="single" w:sz="8" w:space="0" w:color="C62828"/>
              <w:right w:val="single" w:sz="8" w:space="0" w:color="C62828"/>
            </w:tcBorders>
            <w:shd w:val="clear" w:color="auto" w:fill="FFFFFF"/>
            <w:tcMar>
              <w:top w:w="150" w:type="dxa"/>
              <w:left w:w="100" w:type="dxa"/>
              <w:bottom w:w="150" w:type="dxa"/>
              <w:right w:w="100" w:type="dxa"/>
            </w:tcMar>
          </w:tcPr>
          <w:p w14:paraId="4D3D7E83" w14:textId="77777777" w:rsidR="008E1CF2" w:rsidRDefault="00000000">
            <w:pPr>
              <w:jc w:val="center"/>
            </w:pPr>
            <w:r>
              <w:rPr>
                <w:b/>
                <w:bCs/>
                <w:color w:val="C62828"/>
                <w:sz w:val="36"/>
                <w:szCs w:val="36"/>
              </w:rPr>
              <w:t>2%</w:t>
            </w:r>
          </w:p>
          <w:p w14:paraId="4B2B4241" w14:textId="77777777" w:rsidR="008E1CF2" w:rsidRDefault="00000000">
            <w:pPr>
              <w:jc w:val="center"/>
            </w:pPr>
            <w:r>
              <w:rPr>
                <w:color w:val="666666"/>
                <w:sz w:val="18"/>
                <w:szCs w:val="18"/>
              </w:rPr>
              <w:t>Annual productivity target</w:t>
            </w:r>
          </w:p>
        </w:tc>
        <w:tc>
          <w:tcPr>
            <w:tcW w:w="0" w:type="auto"/>
            <w:tcBorders>
              <w:top w:val="single" w:sz="8" w:space="0" w:color="666666"/>
              <w:left w:val="single" w:sz="8" w:space="0" w:color="666666"/>
              <w:bottom w:val="single" w:sz="8" w:space="0" w:color="666666"/>
              <w:right w:val="single" w:sz="8" w:space="0" w:color="666666"/>
            </w:tcBorders>
            <w:shd w:val="clear" w:color="auto" w:fill="FFFFFF"/>
            <w:tcMar>
              <w:top w:w="150" w:type="dxa"/>
              <w:left w:w="100" w:type="dxa"/>
              <w:bottom w:w="150" w:type="dxa"/>
              <w:right w:w="100" w:type="dxa"/>
            </w:tcMar>
          </w:tcPr>
          <w:p w14:paraId="559994AC" w14:textId="77777777" w:rsidR="008E1CF2" w:rsidRDefault="00000000">
            <w:pPr>
              <w:jc w:val="center"/>
            </w:pPr>
            <w:r>
              <w:rPr>
                <w:b/>
                <w:bCs/>
                <w:color w:val="666666"/>
                <w:sz w:val="36"/>
                <w:szCs w:val="36"/>
              </w:rPr>
              <w:t>0.6%</w:t>
            </w:r>
          </w:p>
          <w:p w14:paraId="7FE97B3F" w14:textId="77777777" w:rsidR="008E1CF2" w:rsidRDefault="00000000">
            <w:pPr>
              <w:jc w:val="center"/>
            </w:pPr>
            <w:r>
              <w:rPr>
                <w:color w:val="666666"/>
                <w:sz w:val="18"/>
                <w:szCs w:val="18"/>
              </w:rPr>
              <w:t>Historic NHS average</w:t>
            </w:r>
          </w:p>
        </w:tc>
        <w:tc>
          <w:tcPr>
            <w:tcW w:w="0" w:type="auto"/>
            <w:tcBorders>
              <w:top w:val="single" w:sz="8" w:space="0" w:color="C65911"/>
              <w:left w:val="single" w:sz="8" w:space="0" w:color="C65911"/>
              <w:bottom w:val="single" w:sz="8" w:space="0" w:color="C65911"/>
              <w:right w:val="single" w:sz="8" w:space="0" w:color="C65911"/>
            </w:tcBorders>
            <w:shd w:val="clear" w:color="auto" w:fill="FFFFFF"/>
            <w:tcMar>
              <w:top w:w="150" w:type="dxa"/>
              <w:left w:w="100" w:type="dxa"/>
              <w:bottom w:w="150" w:type="dxa"/>
              <w:right w:w="100" w:type="dxa"/>
            </w:tcMar>
          </w:tcPr>
          <w:p w14:paraId="3B2A2E40" w14:textId="77777777" w:rsidR="008E1CF2" w:rsidRDefault="00000000">
            <w:pPr>
              <w:jc w:val="center"/>
            </w:pPr>
            <w:r>
              <w:rPr>
                <w:b/>
                <w:bCs/>
                <w:color w:val="C65911"/>
                <w:sz w:val="36"/>
                <w:szCs w:val="36"/>
              </w:rPr>
              <w:t>8%</w:t>
            </w:r>
          </w:p>
          <w:p w14:paraId="5C3D2B95" w14:textId="77777777" w:rsidR="008E1CF2" w:rsidRDefault="00000000">
            <w:pPr>
              <w:jc w:val="center"/>
            </w:pPr>
            <w:r>
              <w:rPr>
                <w:color w:val="666666"/>
                <w:sz w:val="18"/>
                <w:szCs w:val="18"/>
              </w:rPr>
              <w:t>Still below pre-pandemic</w:t>
            </w:r>
          </w:p>
        </w:tc>
      </w:tr>
    </w:tbl>
    <w:p w14:paraId="5D5E0A5F" w14:textId="77777777" w:rsidR="008E1CF2" w:rsidRDefault="008E1CF2">
      <w:pPr>
        <w:spacing w:after="200"/>
      </w:pPr>
    </w:p>
    <w:p w14:paraId="7BC0C336" w14:textId="77777777" w:rsidR="008E1CF2" w:rsidRDefault="00000000">
      <w:pPr>
        <w:spacing w:after="200"/>
      </w:pPr>
      <w:r>
        <w:rPr>
          <w:b/>
          <w:bCs/>
        </w:rPr>
        <w:t>For the plan to succeed financially, the NHS must not only reverse a historic productivity decline but sustain productivity growth at rates never previously achieved—for a decade.</w:t>
      </w:r>
      <w:r>
        <w:t xml:space="preserve"> The document describes this target as 'stretching' and 'credible.' These are not the same thing, and the document does not explain the mechanism by which unprecedented productivity gains will be achieved and maintained.</w:t>
      </w:r>
    </w:p>
    <w:p w14:paraId="2D0DF39E" w14:textId="77777777" w:rsidR="008E1CF2" w:rsidRDefault="00000000">
      <w:pPr>
        <w:pStyle w:val="Heading2"/>
      </w:pPr>
      <w:r>
        <w:t>Critical Risks and Funding Uncertainties</w:t>
      </w:r>
    </w:p>
    <w:p w14:paraId="0B47B7C3" w14:textId="77777777" w:rsidR="008E1CF2" w:rsidRDefault="00000000">
      <w:pPr>
        <w:spacing w:after="200"/>
      </w:pPr>
      <w:r>
        <w:t xml:space="preserve">The document acknowledges significant implementation risks with unusual candour. It states plainly that 'reform of this type, and on this scale, has not been delivered previously.' Public support will be </w:t>
      </w:r>
      <w:proofErr w:type="gramStart"/>
      <w:r>
        <w:t>essential—surveys</w:t>
      </w:r>
      <w:proofErr w:type="gramEnd"/>
      <w:r>
        <w:t xml:space="preserve"> show broad support for the three shifts, but maintaining trust during disruption will be critical.</w:t>
      </w:r>
    </w:p>
    <w:p w14:paraId="596172A1" w14:textId="77777777" w:rsidR="008E1CF2" w:rsidRDefault="00000000">
      <w:pPr>
        <w:spacing w:after="200"/>
      </w:pPr>
      <w:r>
        <w:t>The funding position deserves careful attention. Revenue funding is settled until 2028-29; capital until 2029-30. Everything beyond those dates is 'subject to future spending reviews.' For a 10-year plan, this means more than half the implementation period has no confirmed funding.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07"/>
      </w:tblGrid>
      <w:tr w:rsidR="008E1CF2" w14:paraId="5CEA478B" w14:textId="77777777">
        <w:tblPrEx>
          <w:tblCellMar>
            <w:top w:w="0" w:type="dxa"/>
            <w:bottom w:w="0" w:type="dxa"/>
          </w:tblCellMar>
        </w:tblPrEx>
        <w:tc>
          <w:tcPr>
            <w:tcW w:w="0" w:type="auto"/>
            <w:tcBorders>
              <w:top w:val="single" w:sz="1" w:space="0" w:color="FFFFFF"/>
              <w:left w:val="single" w:sz="24" w:space="0" w:color="2E75B6"/>
              <w:bottom w:val="single" w:sz="1" w:space="0" w:color="FFFFFF"/>
              <w:right w:val="single" w:sz="1" w:space="0" w:color="FFFFFF"/>
            </w:tcBorders>
            <w:shd w:val="clear" w:color="auto" w:fill="F5F9FC"/>
            <w:tcMar>
              <w:top w:w="200" w:type="dxa"/>
              <w:left w:w="300" w:type="dxa"/>
              <w:bottom w:w="200" w:type="dxa"/>
              <w:right w:w="200" w:type="dxa"/>
            </w:tcMar>
          </w:tcPr>
          <w:p w14:paraId="0A776C93" w14:textId="77777777" w:rsidR="008E1CF2" w:rsidRDefault="00000000">
            <w:pPr>
              <w:spacing w:after="100"/>
            </w:pPr>
            <w:r>
              <w:rPr>
                <w:rFonts w:ascii="Georgia" w:eastAsia="Georgia" w:hAnsi="Georgia" w:cs="Georgia"/>
                <w:i/>
                <w:iCs/>
                <w:color w:val="404040"/>
                <w:sz w:val="24"/>
                <w:szCs w:val="24"/>
              </w:rPr>
              <w:lastRenderedPageBreak/>
              <w:t>"The historic capital shortfall is estimated at £37-38 billion... backlog maintenance stands at £11.6 billion"</w:t>
            </w:r>
          </w:p>
          <w:p w14:paraId="228CEDF7" w14:textId="77777777" w:rsidR="008E1CF2" w:rsidRDefault="00000000">
            <w:pPr>
              <w:spacing w:after="100"/>
            </w:pPr>
            <w:r>
              <w:rPr>
                <w:i/>
                <w:iCs/>
                <w:color w:val="666666"/>
                <w:sz w:val="18"/>
                <w:szCs w:val="18"/>
              </w:rPr>
              <w:t>— Impact Statement, p.61</w:t>
            </w:r>
          </w:p>
          <w:p w14:paraId="1391D6CE" w14:textId="77777777" w:rsidR="008E1CF2" w:rsidRDefault="00000000">
            <w:r>
              <w:rPr>
                <w:b/>
                <w:bCs/>
                <w:color w:val="1F4E79"/>
                <w:sz w:val="20"/>
                <w:szCs w:val="20"/>
              </w:rPr>
              <w:t>The infrastructure deficit predates this plan and is not resolved by it.</w:t>
            </w:r>
          </w:p>
        </w:tc>
      </w:tr>
    </w:tbl>
    <w:p w14:paraId="22C78DDE" w14:textId="77777777" w:rsidR="008E1CF2" w:rsidRDefault="008E1CF2">
      <w:pPr>
        <w:spacing w:after="200"/>
      </w:pPr>
    </w:p>
    <w:p w14:paraId="5C9A467A" w14:textId="77777777" w:rsidR="008E1CF2" w:rsidRDefault="00000000">
      <w:pPr>
        <w:spacing w:after="200"/>
      </w:pPr>
      <w:r>
        <w:t>A 2024 NHS Confederation survey found 9 in 10 ICS leaders concerned that plans are constrained by lack of long-term investment. The Impact Statement provides evidence for their concerns rather than answers to them.</w:t>
      </w:r>
    </w:p>
    <w:p w14:paraId="258EA571" w14:textId="77777777" w:rsidR="008E1CF2" w:rsidRDefault="0000000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92"/>
      </w:tblGrid>
      <w:tr w:rsidR="008E1CF2" w14:paraId="44E67B03" w14:textId="77777777">
        <w:tblPrEx>
          <w:tblCellMar>
            <w:top w:w="0" w:type="dxa"/>
            <w:bottom w:w="0" w:type="dxa"/>
          </w:tblCellMar>
        </w:tblPrEx>
        <w:tc>
          <w:tcPr>
            <w:tcW w:w="0" w:type="auto"/>
            <w:tcBorders>
              <w:top w:val="single" w:sz="1" w:space="0" w:color="FFFFFF"/>
              <w:left w:val="single" w:sz="36" w:space="0" w:color="2E75B6"/>
              <w:bottom w:val="single" w:sz="1" w:space="0" w:color="FFFFFF"/>
              <w:right w:val="single" w:sz="1" w:space="0" w:color="FFFFFF"/>
            </w:tcBorders>
            <w:shd w:val="clear" w:color="auto" w:fill="FFFFFF"/>
            <w:tcMar>
              <w:top w:w="150" w:type="dxa"/>
              <w:left w:w="200" w:type="dxa"/>
              <w:bottom w:w="150" w:type="dxa"/>
              <w:right w:w="100" w:type="dxa"/>
            </w:tcMar>
          </w:tcPr>
          <w:p w14:paraId="6C6DA1D6" w14:textId="77777777" w:rsidR="008E1CF2" w:rsidRDefault="00000000">
            <w:r>
              <w:rPr>
                <w:b/>
                <w:bCs/>
                <w:color w:val="2E75B6"/>
                <w:sz w:val="28"/>
                <w:szCs w:val="28"/>
              </w:rPr>
              <w:lastRenderedPageBreak/>
              <w:t>10 KEY POINTS FROM THE IMPACT STATEMENT</w:t>
            </w:r>
          </w:p>
        </w:tc>
      </w:tr>
    </w:tbl>
    <w:p w14:paraId="590A0E0F" w14:textId="77777777" w:rsidR="008E1CF2" w:rsidRDefault="008E1CF2">
      <w:pPr>
        <w:spacing w:after="2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7"/>
        <w:gridCol w:w="9049"/>
      </w:tblGrid>
      <w:tr w:rsidR="008E1CF2" w14:paraId="5EA6353E" w14:textId="77777777">
        <w:tblPrEx>
          <w:tblCellMar>
            <w:top w:w="0" w:type="dxa"/>
            <w:bottom w:w="0" w:type="dxa"/>
          </w:tblCellMar>
        </w:tblPrEx>
        <w:tc>
          <w:tcPr>
            <w:tcW w:w="550" w:type="dxa"/>
            <w:tcBorders>
              <w:top w:val="single" w:sz="1" w:space="0" w:color="FFFFFF"/>
              <w:left w:val="single" w:sz="1" w:space="0" w:color="FFFFFF"/>
              <w:bottom w:val="single" w:sz="1" w:space="0" w:color="FFFFFF"/>
              <w:right w:val="single" w:sz="1" w:space="0" w:color="FFFFFF"/>
            </w:tcBorders>
            <w:shd w:val="clear" w:color="auto" w:fill="1F4E79"/>
            <w:tcMar>
              <w:top w:w="150" w:type="dxa"/>
              <w:left w:w="50" w:type="dxa"/>
              <w:bottom w:w="150" w:type="dxa"/>
              <w:right w:w="50" w:type="dxa"/>
            </w:tcMar>
            <w:vAlign w:val="center"/>
          </w:tcPr>
          <w:p w14:paraId="71CA4BD5" w14:textId="77777777" w:rsidR="008E1CF2" w:rsidRDefault="00000000">
            <w:pPr>
              <w:jc w:val="center"/>
            </w:pPr>
            <w:r>
              <w:rPr>
                <w:b/>
                <w:bCs/>
                <w:color w:val="FFFFFF"/>
                <w:sz w:val="26"/>
                <w:szCs w:val="26"/>
              </w:rPr>
              <w:t>1</w:t>
            </w:r>
          </w:p>
        </w:tc>
        <w:tc>
          <w:tcPr>
            <w:tcW w:w="8476" w:type="dxa"/>
            <w:tcBorders>
              <w:top w:val="single" w:sz="1" w:space="0" w:color="FFFFFF"/>
              <w:left w:val="single" w:sz="1" w:space="0" w:color="FFFFFF"/>
              <w:bottom w:val="single" w:sz="1" w:space="0" w:color="FFFFFF"/>
              <w:right w:val="single" w:sz="1" w:space="0" w:color="FFFFFF"/>
            </w:tcBorders>
            <w:shd w:val="clear" w:color="auto" w:fill="F8F9FA"/>
            <w:tcMar>
              <w:top w:w="150" w:type="dxa"/>
              <w:left w:w="200" w:type="dxa"/>
              <w:bottom w:w="150" w:type="dxa"/>
              <w:right w:w="150" w:type="dxa"/>
            </w:tcMar>
          </w:tcPr>
          <w:p w14:paraId="78CC2A47" w14:textId="77777777" w:rsidR="008E1CF2" w:rsidRDefault="00000000">
            <w:pPr>
              <w:spacing w:after="80"/>
            </w:pPr>
            <w:r>
              <w:rPr>
                <w:b/>
                <w:bCs/>
                <w:color w:val="1F4E79"/>
              </w:rPr>
              <w:t>Neighbourhood Health Service at Scale</w:t>
            </w:r>
          </w:p>
          <w:p w14:paraId="4B7EE865" w14:textId="77777777" w:rsidR="008E1CF2" w:rsidRDefault="00000000">
            <w:r>
              <w:rPr>
                <w:sz w:val="21"/>
                <w:szCs w:val="21"/>
              </w:rPr>
              <w:t>Care will be reorganised around 50,000-population neighbourhoods with MDTs and NHCs offering extended hours. Six priority patient groups representing half of England's population will be the focus of proactive community care. However, the evidence for this model reducing hospital activity is described as 'partial and mixed,' with benefits taking 2-6 years to emerge.</w:t>
            </w:r>
          </w:p>
        </w:tc>
      </w:tr>
    </w:tbl>
    <w:p w14:paraId="29558176" w14:textId="77777777" w:rsidR="008E1CF2" w:rsidRDefault="008E1CF2">
      <w:pPr>
        <w:spacing w:after="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7"/>
        <w:gridCol w:w="9049"/>
      </w:tblGrid>
      <w:tr w:rsidR="008E1CF2" w14:paraId="028FF600" w14:textId="77777777">
        <w:tblPrEx>
          <w:tblCellMar>
            <w:top w:w="0" w:type="dxa"/>
            <w:bottom w:w="0" w:type="dxa"/>
          </w:tblCellMar>
        </w:tblPrEx>
        <w:tc>
          <w:tcPr>
            <w:tcW w:w="550" w:type="dxa"/>
            <w:tcBorders>
              <w:top w:val="single" w:sz="1" w:space="0" w:color="FFFFFF"/>
              <w:left w:val="single" w:sz="1" w:space="0" w:color="FFFFFF"/>
              <w:bottom w:val="single" w:sz="1" w:space="0" w:color="FFFFFF"/>
              <w:right w:val="single" w:sz="1" w:space="0" w:color="FFFFFF"/>
            </w:tcBorders>
            <w:shd w:val="clear" w:color="auto" w:fill="2E75B6"/>
            <w:tcMar>
              <w:top w:w="150" w:type="dxa"/>
              <w:left w:w="50" w:type="dxa"/>
              <w:bottom w:w="150" w:type="dxa"/>
              <w:right w:w="50" w:type="dxa"/>
            </w:tcMar>
            <w:vAlign w:val="center"/>
          </w:tcPr>
          <w:p w14:paraId="505461F6" w14:textId="77777777" w:rsidR="008E1CF2" w:rsidRDefault="00000000">
            <w:pPr>
              <w:jc w:val="center"/>
            </w:pPr>
            <w:r>
              <w:rPr>
                <w:b/>
                <w:bCs/>
                <w:color w:val="FFFFFF"/>
                <w:sz w:val="26"/>
                <w:szCs w:val="26"/>
              </w:rPr>
              <w:t>2</w:t>
            </w:r>
          </w:p>
        </w:tc>
        <w:tc>
          <w:tcPr>
            <w:tcW w:w="8476" w:type="dxa"/>
            <w:tcBorders>
              <w:top w:val="single" w:sz="1" w:space="0" w:color="FFFFFF"/>
              <w:left w:val="single" w:sz="1" w:space="0" w:color="FFFFFF"/>
              <w:bottom w:val="single" w:sz="1" w:space="0" w:color="FFFFFF"/>
              <w:right w:val="single" w:sz="1" w:space="0" w:color="FFFFFF"/>
            </w:tcBorders>
            <w:shd w:val="clear" w:color="auto" w:fill="F8F9FA"/>
            <w:tcMar>
              <w:top w:w="150" w:type="dxa"/>
              <w:left w:w="200" w:type="dxa"/>
              <w:bottom w:w="150" w:type="dxa"/>
              <w:right w:w="150" w:type="dxa"/>
            </w:tcMar>
          </w:tcPr>
          <w:p w14:paraId="503EE8E4" w14:textId="77777777" w:rsidR="008E1CF2" w:rsidRDefault="00000000">
            <w:pPr>
              <w:spacing w:after="80"/>
            </w:pPr>
            <w:r>
              <w:rPr>
                <w:b/>
                <w:bCs/>
                <w:color w:val="1F4E79"/>
              </w:rPr>
              <w:t>Single Patient Record as Foundation</w:t>
            </w:r>
          </w:p>
          <w:p w14:paraId="18795A75" w14:textId="77777777" w:rsidR="008E1CF2" w:rsidRDefault="00000000">
            <w:r>
              <w:rPr>
                <w:sz w:val="21"/>
                <w:szCs w:val="21"/>
              </w:rPr>
              <w:t>The SPR will integrate clinical records with social risk assessments and wearable data across all care settings. Research suggests the London Care Record saved £7.9-44.4 million over three years. However, 76% of doctors see interoperability as a 'significant barrier' and 68% doubt seamless data sharing will be achieved within 10 years.</w:t>
            </w:r>
          </w:p>
        </w:tc>
      </w:tr>
    </w:tbl>
    <w:p w14:paraId="67DD1A04" w14:textId="77777777" w:rsidR="008E1CF2" w:rsidRDefault="008E1CF2">
      <w:pPr>
        <w:spacing w:after="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7"/>
        <w:gridCol w:w="9049"/>
      </w:tblGrid>
      <w:tr w:rsidR="008E1CF2" w14:paraId="6C288DCC" w14:textId="77777777">
        <w:tblPrEx>
          <w:tblCellMar>
            <w:top w:w="0" w:type="dxa"/>
            <w:bottom w:w="0" w:type="dxa"/>
          </w:tblCellMar>
        </w:tblPrEx>
        <w:tc>
          <w:tcPr>
            <w:tcW w:w="550" w:type="dxa"/>
            <w:tcBorders>
              <w:top w:val="single" w:sz="1" w:space="0" w:color="FFFFFF"/>
              <w:left w:val="single" w:sz="1" w:space="0" w:color="FFFFFF"/>
              <w:bottom w:val="single" w:sz="1" w:space="0" w:color="FFFFFF"/>
              <w:right w:val="single" w:sz="1" w:space="0" w:color="FFFFFF"/>
            </w:tcBorders>
            <w:shd w:val="clear" w:color="auto" w:fill="5B9BD5"/>
            <w:tcMar>
              <w:top w:w="150" w:type="dxa"/>
              <w:left w:w="50" w:type="dxa"/>
              <w:bottom w:w="150" w:type="dxa"/>
              <w:right w:w="50" w:type="dxa"/>
            </w:tcMar>
            <w:vAlign w:val="center"/>
          </w:tcPr>
          <w:p w14:paraId="283BF841" w14:textId="77777777" w:rsidR="008E1CF2" w:rsidRDefault="00000000">
            <w:pPr>
              <w:jc w:val="center"/>
            </w:pPr>
            <w:r>
              <w:rPr>
                <w:b/>
                <w:bCs/>
                <w:color w:val="FFFFFF"/>
                <w:sz w:val="26"/>
                <w:szCs w:val="26"/>
              </w:rPr>
              <w:t>3</w:t>
            </w:r>
          </w:p>
        </w:tc>
        <w:tc>
          <w:tcPr>
            <w:tcW w:w="8476" w:type="dxa"/>
            <w:tcBorders>
              <w:top w:val="single" w:sz="1" w:space="0" w:color="FFFFFF"/>
              <w:left w:val="single" w:sz="1" w:space="0" w:color="FFFFFF"/>
              <w:bottom w:val="single" w:sz="1" w:space="0" w:color="FFFFFF"/>
              <w:right w:val="single" w:sz="1" w:space="0" w:color="FFFFFF"/>
            </w:tcBorders>
            <w:shd w:val="clear" w:color="auto" w:fill="F8F9FA"/>
            <w:tcMar>
              <w:top w:w="150" w:type="dxa"/>
              <w:left w:w="200" w:type="dxa"/>
              <w:bottom w:w="150" w:type="dxa"/>
              <w:right w:w="150" w:type="dxa"/>
            </w:tcMar>
          </w:tcPr>
          <w:p w14:paraId="1FAF9634" w14:textId="77777777" w:rsidR="008E1CF2" w:rsidRDefault="00000000">
            <w:pPr>
              <w:spacing w:after="80"/>
            </w:pPr>
            <w:r>
              <w:rPr>
                <w:b/>
                <w:bCs/>
                <w:color w:val="1F4E79"/>
              </w:rPr>
              <w:t>Prevention Economics Are Compelling</w:t>
            </w:r>
          </w:p>
          <w:p w14:paraId="2E221266" w14:textId="77777777" w:rsidR="008E1CF2" w:rsidRDefault="00000000">
            <w:r>
              <w:rPr>
                <w:sz w:val="21"/>
                <w:szCs w:val="21"/>
              </w:rPr>
              <w:t>A 20% reduction in six major disease categories could raise GDP by £19.8 billion within five years. Healthy food targets could reduce childhood obesity by 340,000 and adult obesity by 2 million. This is the strongest evidence base in the document, though benefits accrue over decades rather than electoral cycles.</w:t>
            </w:r>
          </w:p>
        </w:tc>
      </w:tr>
    </w:tbl>
    <w:p w14:paraId="6AD4B488" w14:textId="77777777" w:rsidR="008E1CF2" w:rsidRDefault="008E1CF2">
      <w:pPr>
        <w:spacing w:after="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7"/>
        <w:gridCol w:w="9049"/>
      </w:tblGrid>
      <w:tr w:rsidR="008E1CF2" w14:paraId="1A7154CD" w14:textId="77777777">
        <w:tblPrEx>
          <w:tblCellMar>
            <w:top w:w="0" w:type="dxa"/>
            <w:bottom w:w="0" w:type="dxa"/>
          </w:tblCellMar>
        </w:tblPrEx>
        <w:tc>
          <w:tcPr>
            <w:tcW w:w="550" w:type="dxa"/>
            <w:tcBorders>
              <w:top w:val="single" w:sz="1" w:space="0" w:color="FFFFFF"/>
              <w:left w:val="single" w:sz="1" w:space="0" w:color="FFFFFF"/>
              <w:bottom w:val="single" w:sz="1" w:space="0" w:color="FFFFFF"/>
              <w:right w:val="single" w:sz="1" w:space="0" w:color="FFFFFF"/>
            </w:tcBorders>
            <w:shd w:val="clear" w:color="auto" w:fill="1F4E79"/>
            <w:tcMar>
              <w:top w:w="150" w:type="dxa"/>
              <w:left w:w="50" w:type="dxa"/>
              <w:bottom w:w="150" w:type="dxa"/>
              <w:right w:w="50" w:type="dxa"/>
            </w:tcMar>
            <w:vAlign w:val="center"/>
          </w:tcPr>
          <w:p w14:paraId="7D1EB51F" w14:textId="77777777" w:rsidR="008E1CF2" w:rsidRDefault="00000000">
            <w:pPr>
              <w:jc w:val="center"/>
            </w:pPr>
            <w:r>
              <w:rPr>
                <w:b/>
                <w:bCs/>
                <w:color w:val="FFFFFF"/>
                <w:sz w:val="26"/>
                <w:szCs w:val="26"/>
              </w:rPr>
              <w:t>4</w:t>
            </w:r>
          </w:p>
        </w:tc>
        <w:tc>
          <w:tcPr>
            <w:tcW w:w="8476" w:type="dxa"/>
            <w:tcBorders>
              <w:top w:val="single" w:sz="1" w:space="0" w:color="FFFFFF"/>
              <w:left w:val="single" w:sz="1" w:space="0" w:color="FFFFFF"/>
              <w:bottom w:val="single" w:sz="1" w:space="0" w:color="FFFFFF"/>
              <w:right w:val="single" w:sz="1" w:space="0" w:color="FFFFFF"/>
            </w:tcBorders>
            <w:shd w:val="clear" w:color="auto" w:fill="F8F9FA"/>
            <w:tcMar>
              <w:top w:w="150" w:type="dxa"/>
              <w:left w:w="200" w:type="dxa"/>
              <w:bottom w:w="150" w:type="dxa"/>
              <w:right w:w="150" w:type="dxa"/>
            </w:tcMar>
          </w:tcPr>
          <w:p w14:paraId="1E175FDF" w14:textId="77777777" w:rsidR="008E1CF2" w:rsidRDefault="00000000">
            <w:pPr>
              <w:spacing w:after="80"/>
            </w:pPr>
            <w:r>
              <w:rPr>
                <w:b/>
                <w:bCs/>
                <w:color w:val="1F4E79"/>
              </w:rPr>
              <w:t>GP Funding Inequalities Acknowledged</w:t>
            </w:r>
          </w:p>
          <w:p w14:paraId="01C5C05D" w14:textId="77777777" w:rsidR="008E1CF2" w:rsidRDefault="00000000">
            <w:r>
              <w:rPr>
                <w:sz w:val="21"/>
                <w:szCs w:val="21"/>
              </w:rPr>
              <w:t>Practices serving the most deprived quintile receive £14 less per weighted patient than those in least deprived areas. The Carr-Hill formula will be reviewed to better reflect health need. ICBs will move to target allocations more quickly. This represents significant potential redistribution—the document acknowledges there will be winners and losers.</w:t>
            </w:r>
          </w:p>
        </w:tc>
      </w:tr>
    </w:tbl>
    <w:p w14:paraId="08CF0BFA" w14:textId="77777777" w:rsidR="008E1CF2" w:rsidRDefault="008E1CF2">
      <w:pPr>
        <w:spacing w:after="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7"/>
        <w:gridCol w:w="9049"/>
      </w:tblGrid>
      <w:tr w:rsidR="008E1CF2" w14:paraId="772FCB69" w14:textId="77777777">
        <w:tblPrEx>
          <w:tblCellMar>
            <w:top w:w="0" w:type="dxa"/>
            <w:bottom w:w="0" w:type="dxa"/>
          </w:tblCellMar>
        </w:tblPrEx>
        <w:tc>
          <w:tcPr>
            <w:tcW w:w="550" w:type="dxa"/>
            <w:tcBorders>
              <w:top w:val="single" w:sz="1" w:space="0" w:color="FFFFFF"/>
              <w:left w:val="single" w:sz="1" w:space="0" w:color="FFFFFF"/>
              <w:bottom w:val="single" w:sz="1" w:space="0" w:color="FFFFFF"/>
              <w:right w:val="single" w:sz="1" w:space="0" w:color="FFFFFF"/>
            </w:tcBorders>
            <w:shd w:val="clear" w:color="auto" w:fill="2E75B6"/>
            <w:tcMar>
              <w:top w:w="150" w:type="dxa"/>
              <w:left w:w="50" w:type="dxa"/>
              <w:bottom w:w="150" w:type="dxa"/>
              <w:right w:w="50" w:type="dxa"/>
            </w:tcMar>
            <w:vAlign w:val="center"/>
          </w:tcPr>
          <w:p w14:paraId="0A0B3597" w14:textId="77777777" w:rsidR="008E1CF2" w:rsidRDefault="00000000">
            <w:pPr>
              <w:jc w:val="center"/>
            </w:pPr>
            <w:r>
              <w:rPr>
                <w:b/>
                <w:bCs/>
                <w:color w:val="FFFFFF"/>
                <w:sz w:val="26"/>
                <w:szCs w:val="26"/>
              </w:rPr>
              <w:t>5</w:t>
            </w:r>
          </w:p>
        </w:tc>
        <w:tc>
          <w:tcPr>
            <w:tcW w:w="8476" w:type="dxa"/>
            <w:tcBorders>
              <w:top w:val="single" w:sz="1" w:space="0" w:color="FFFFFF"/>
              <w:left w:val="single" w:sz="1" w:space="0" w:color="FFFFFF"/>
              <w:bottom w:val="single" w:sz="1" w:space="0" w:color="FFFFFF"/>
              <w:right w:val="single" w:sz="1" w:space="0" w:color="FFFFFF"/>
            </w:tcBorders>
            <w:shd w:val="clear" w:color="auto" w:fill="F8F9FA"/>
            <w:tcMar>
              <w:top w:w="150" w:type="dxa"/>
              <w:left w:w="200" w:type="dxa"/>
              <w:bottom w:w="150" w:type="dxa"/>
              <w:right w:w="150" w:type="dxa"/>
            </w:tcMar>
          </w:tcPr>
          <w:p w14:paraId="6B138512" w14:textId="77777777" w:rsidR="008E1CF2" w:rsidRDefault="00000000">
            <w:pPr>
              <w:spacing w:after="80"/>
            </w:pPr>
            <w:r>
              <w:rPr>
                <w:b/>
                <w:bCs/>
                <w:color w:val="1F4E79"/>
              </w:rPr>
              <w:t>Year-of-Care Payments to Be Trialled</w:t>
            </w:r>
          </w:p>
          <w:p w14:paraId="66E4EB9D" w14:textId="77777777" w:rsidR="008E1CF2" w:rsidRDefault="00000000">
            <w:r>
              <w:rPr>
                <w:sz w:val="21"/>
                <w:szCs w:val="21"/>
              </w:rPr>
              <w:t xml:space="preserve">Single payments covering </w:t>
            </w:r>
            <w:proofErr w:type="gramStart"/>
            <w:r>
              <w:rPr>
                <w:sz w:val="21"/>
                <w:szCs w:val="21"/>
              </w:rPr>
              <w:t>all of</w:t>
            </w:r>
            <w:proofErr w:type="gramEnd"/>
            <w:r>
              <w:rPr>
                <w:sz w:val="21"/>
                <w:szCs w:val="21"/>
              </w:rPr>
              <w:t xml:space="preserve"> a person's care could incentivise proactive community management and reduce emergency activity. Analysis shows 18% of the population accounts for 58% of secondary care costs. These payments will be 'trialled' from April 2026—not implemented—and the financial framework remains unpublished.</w:t>
            </w:r>
          </w:p>
        </w:tc>
      </w:tr>
    </w:tbl>
    <w:p w14:paraId="7F9B7221" w14:textId="77777777" w:rsidR="008E1CF2" w:rsidRDefault="008E1CF2">
      <w:pPr>
        <w:spacing w:after="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7"/>
        <w:gridCol w:w="9049"/>
      </w:tblGrid>
      <w:tr w:rsidR="008E1CF2" w14:paraId="0B83C0DE" w14:textId="77777777">
        <w:tblPrEx>
          <w:tblCellMar>
            <w:top w:w="0" w:type="dxa"/>
            <w:bottom w:w="0" w:type="dxa"/>
          </w:tblCellMar>
        </w:tblPrEx>
        <w:tc>
          <w:tcPr>
            <w:tcW w:w="550" w:type="dxa"/>
            <w:tcBorders>
              <w:top w:val="single" w:sz="1" w:space="0" w:color="FFFFFF"/>
              <w:left w:val="single" w:sz="1" w:space="0" w:color="FFFFFF"/>
              <w:bottom w:val="single" w:sz="1" w:space="0" w:color="FFFFFF"/>
              <w:right w:val="single" w:sz="1" w:space="0" w:color="FFFFFF"/>
            </w:tcBorders>
            <w:shd w:val="clear" w:color="auto" w:fill="5B9BD5"/>
            <w:tcMar>
              <w:top w:w="150" w:type="dxa"/>
              <w:left w:w="50" w:type="dxa"/>
              <w:bottom w:w="150" w:type="dxa"/>
              <w:right w:w="50" w:type="dxa"/>
            </w:tcMar>
            <w:vAlign w:val="center"/>
          </w:tcPr>
          <w:p w14:paraId="097646EA" w14:textId="77777777" w:rsidR="008E1CF2" w:rsidRDefault="00000000">
            <w:pPr>
              <w:jc w:val="center"/>
            </w:pPr>
            <w:r>
              <w:rPr>
                <w:b/>
                <w:bCs/>
                <w:color w:val="FFFFFF"/>
                <w:sz w:val="26"/>
                <w:szCs w:val="26"/>
              </w:rPr>
              <w:t>6</w:t>
            </w:r>
          </w:p>
        </w:tc>
        <w:tc>
          <w:tcPr>
            <w:tcW w:w="8476" w:type="dxa"/>
            <w:tcBorders>
              <w:top w:val="single" w:sz="1" w:space="0" w:color="FFFFFF"/>
              <w:left w:val="single" w:sz="1" w:space="0" w:color="FFFFFF"/>
              <w:bottom w:val="single" w:sz="1" w:space="0" w:color="FFFFFF"/>
              <w:right w:val="single" w:sz="1" w:space="0" w:color="FFFFFF"/>
            </w:tcBorders>
            <w:shd w:val="clear" w:color="auto" w:fill="F8F9FA"/>
            <w:tcMar>
              <w:top w:w="150" w:type="dxa"/>
              <w:left w:w="200" w:type="dxa"/>
              <w:bottom w:w="150" w:type="dxa"/>
              <w:right w:w="150" w:type="dxa"/>
            </w:tcMar>
          </w:tcPr>
          <w:p w14:paraId="198B3A47" w14:textId="77777777" w:rsidR="008E1CF2" w:rsidRDefault="00000000">
            <w:pPr>
              <w:spacing w:after="80"/>
            </w:pPr>
            <w:r>
              <w:rPr>
                <w:b/>
                <w:bCs/>
                <w:color w:val="1F4E79"/>
              </w:rPr>
              <w:t>Dental System Overhaul</w:t>
            </w:r>
          </w:p>
          <w:p w14:paraId="0D478346" w14:textId="77777777" w:rsidR="008E1CF2" w:rsidRDefault="00000000">
            <w:r>
              <w:rPr>
                <w:sz w:val="21"/>
                <w:szCs w:val="21"/>
              </w:rPr>
              <w:t>Almost one-third of registered dentists (11,000 of 35,000) contribute nothing to NHS dentistry. Newly qualified dentists will be required to practice in the NHS for at least 3 years, representing return on up to £200,000 taxpayer investment per dentist.</w:t>
            </w:r>
          </w:p>
        </w:tc>
      </w:tr>
    </w:tbl>
    <w:p w14:paraId="588AAD1C" w14:textId="77777777" w:rsidR="008E1CF2" w:rsidRDefault="008E1CF2">
      <w:pPr>
        <w:spacing w:after="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7"/>
        <w:gridCol w:w="9049"/>
      </w:tblGrid>
      <w:tr w:rsidR="008E1CF2" w14:paraId="7F4DD5A7" w14:textId="77777777">
        <w:tblPrEx>
          <w:tblCellMar>
            <w:top w:w="0" w:type="dxa"/>
            <w:bottom w:w="0" w:type="dxa"/>
          </w:tblCellMar>
        </w:tblPrEx>
        <w:tc>
          <w:tcPr>
            <w:tcW w:w="550" w:type="dxa"/>
            <w:tcBorders>
              <w:top w:val="single" w:sz="1" w:space="0" w:color="FFFFFF"/>
              <w:left w:val="single" w:sz="1" w:space="0" w:color="FFFFFF"/>
              <w:bottom w:val="single" w:sz="1" w:space="0" w:color="FFFFFF"/>
              <w:right w:val="single" w:sz="1" w:space="0" w:color="FFFFFF"/>
            </w:tcBorders>
            <w:shd w:val="clear" w:color="auto" w:fill="1F4E79"/>
            <w:tcMar>
              <w:top w:w="150" w:type="dxa"/>
              <w:left w:w="50" w:type="dxa"/>
              <w:bottom w:w="150" w:type="dxa"/>
              <w:right w:w="50" w:type="dxa"/>
            </w:tcMar>
            <w:vAlign w:val="center"/>
          </w:tcPr>
          <w:p w14:paraId="5B1FE84E" w14:textId="77777777" w:rsidR="008E1CF2" w:rsidRDefault="00000000">
            <w:pPr>
              <w:jc w:val="center"/>
            </w:pPr>
            <w:r>
              <w:rPr>
                <w:b/>
                <w:bCs/>
                <w:color w:val="FFFFFF"/>
                <w:sz w:val="26"/>
                <w:szCs w:val="26"/>
              </w:rPr>
              <w:t>7</w:t>
            </w:r>
          </w:p>
        </w:tc>
        <w:tc>
          <w:tcPr>
            <w:tcW w:w="8476" w:type="dxa"/>
            <w:tcBorders>
              <w:top w:val="single" w:sz="1" w:space="0" w:color="FFFFFF"/>
              <w:left w:val="single" w:sz="1" w:space="0" w:color="FFFFFF"/>
              <w:bottom w:val="single" w:sz="1" w:space="0" w:color="FFFFFF"/>
              <w:right w:val="single" w:sz="1" w:space="0" w:color="FFFFFF"/>
            </w:tcBorders>
            <w:shd w:val="clear" w:color="auto" w:fill="F8F9FA"/>
            <w:tcMar>
              <w:top w:w="150" w:type="dxa"/>
              <w:left w:w="200" w:type="dxa"/>
              <w:bottom w:w="150" w:type="dxa"/>
              <w:right w:w="150" w:type="dxa"/>
            </w:tcMar>
          </w:tcPr>
          <w:p w14:paraId="721FF012" w14:textId="77777777" w:rsidR="008E1CF2" w:rsidRDefault="00000000">
            <w:pPr>
              <w:spacing w:after="80"/>
            </w:pPr>
            <w:r>
              <w:rPr>
                <w:b/>
                <w:bCs/>
                <w:color w:val="1F4E79"/>
              </w:rPr>
              <w:t>Mental Health Emergency Departments Expanding</w:t>
            </w:r>
          </w:p>
          <w:p w14:paraId="4E49C66B" w14:textId="77777777" w:rsidR="008E1CF2" w:rsidRDefault="00000000">
            <w:r>
              <w:rPr>
                <w:sz w:val="21"/>
                <w:szCs w:val="21"/>
              </w:rPr>
              <w:t>£120 million capital investment will increase Mental Health Emergency Departments from 12 pilot centres to 85 nationally, providing dedicated urgent care pathways for mental health crises separate from general A&amp;E.</w:t>
            </w:r>
          </w:p>
        </w:tc>
      </w:tr>
    </w:tbl>
    <w:p w14:paraId="680A5F40" w14:textId="77777777" w:rsidR="008E1CF2" w:rsidRDefault="008E1CF2">
      <w:pPr>
        <w:spacing w:after="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7"/>
        <w:gridCol w:w="9049"/>
      </w:tblGrid>
      <w:tr w:rsidR="008E1CF2" w14:paraId="19C2D511" w14:textId="77777777">
        <w:tblPrEx>
          <w:tblCellMar>
            <w:top w:w="0" w:type="dxa"/>
            <w:bottom w:w="0" w:type="dxa"/>
          </w:tblCellMar>
        </w:tblPrEx>
        <w:tc>
          <w:tcPr>
            <w:tcW w:w="550" w:type="dxa"/>
            <w:tcBorders>
              <w:top w:val="single" w:sz="1" w:space="0" w:color="FFFFFF"/>
              <w:left w:val="single" w:sz="1" w:space="0" w:color="FFFFFF"/>
              <w:bottom w:val="single" w:sz="1" w:space="0" w:color="FFFFFF"/>
              <w:right w:val="single" w:sz="1" w:space="0" w:color="FFFFFF"/>
            </w:tcBorders>
            <w:shd w:val="clear" w:color="auto" w:fill="2E75B6"/>
            <w:tcMar>
              <w:top w:w="150" w:type="dxa"/>
              <w:left w:w="50" w:type="dxa"/>
              <w:bottom w:w="150" w:type="dxa"/>
              <w:right w:w="50" w:type="dxa"/>
            </w:tcMar>
            <w:vAlign w:val="center"/>
          </w:tcPr>
          <w:p w14:paraId="70F5168E" w14:textId="77777777" w:rsidR="008E1CF2" w:rsidRDefault="00000000">
            <w:pPr>
              <w:jc w:val="center"/>
            </w:pPr>
            <w:r>
              <w:rPr>
                <w:b/>
                <w:bCs/>
                <w:color w:val="FFFFFF"/>
                <w:sz w:val="26"/>
                <w:szCs w:val="26"/>
              </w:rPr>
              <w:lastRenderedPageBreak/>
              <w:t>8</w:t>
            </w:r>
          </w:p>
        </w:tc>
        <w:tc>
          <w:tcPr>
            <w:tcW w:w="8476" w:type="dxa"/>
            <w:tcBorders>
              <w:top w:val="single" w:sz="1" w:space="0" w:color="FFFFFF"/>
              <w:left w:val="single" w:sz="1" w:space="0" w:color="FFFFFF"/>
              <w:bottom w:val="single" w:sz="1" w:space="0" w:color="FFFFFF"/>
              <w:right w:val="single" w:sz="1" w:space="0" w:color="FFFFFF"/>
            </w:tcBorders>
            <w:shd w:val="clear" w:color="auto" w:fill="F8F9FA"/>
            <w:tcMar>
              <w:top w:w="150" w:type="dxa"/>
              <w:left w:w="200" w:type="dxa"/>
              <w:bottom w:w="150" w:type="dxa"/>
              <w:right w:w="150" w:type="dxa"/>
            </w:tcMar>
          </w:tcPr>
          <w:p w14:paraId="056F2C8B" w14:textId="77777777" w:rsidR="008E1CF2" w:rsidRDefault="00000000">
            <w:pPr>
              <w:spacing w:after="80"/>
            </w:pPr>
            <w:r>
              <w:rPr>
                <w:b/>
                <w:bCs/>
                <w:color w:val="1F4E79"/>
              </w:rPr>
              <w:t>Foundation Trust Model Reinvigorated</w:t>
            </w:r>
          </w:p>
          <w:p w14:paraId="150C73CA" w14:textId="77777777" w:rsidR="008E1CF2" w:rsidRDefault="00000000">
            <w:r>
              <w:rPr>
                <w:sz w:val="21"/>
                <w:szCs w:val="21"/>
              </w:rPr>
              <w:t>All NHS trusts to become Foundation Trusts over 10 years with greater autonomy and capital freedoms. Currently 143 of 205 provider trusts have FT status. A rigorous reauthorisation process will ensure standards are maintained.</w:t>
            </w:r>
          </w:p>
        </w:tc>
      </w:tr>
    </w:tbl>
    <w:p w14:paraId="6274A7FE" w14:textId="77777777" w:rsidR="008E1CF2" w:rsidRDefault="008E1CF2">
      <w:pPr>
        <w:spacing w:after="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7"/>
        <w:gridCol w:w="9049"/>
      </w:tblGrid>
      <w:tr w:rsidR="008E1CF2" w14:paraId="08211A34" w14:textId="77777777">
        <w:tblPrEx>
          <w:tblCellMar>
            <w:top w:w="0" w:type="dxa"/>
            <w:bottom w:w="0" w:type="dxa"/>
          </w:tblCellMar>
        </w:tblPrEx>
        <w:tc>
          <w:tcPr>
            <w:tcW w:w="550" w:type="dxa"/>
            <w:tcBorders>
              <w:top w:val="single" w:sz="1" w:space="0" w:color="FFFFFF"/>
              <w:left w:val="single" w:sz="1" w:space="0" w:color="FFFFFF"/>
              <w:bottom w:val="single" w:sz="1" w:space="0" w:color="FFFFFF"/>
              <w:right w:val="single" w:sz="1" w:space="0" w:color="FFFFFF"/>
            </w:tcBorders>
            <w:shd w:val="clear" w:color="auto" w:fill="5B9BD5"/>
            <w:tcMar>
              <w:top w:w="150" w:type="dxa"/>
              <w:left w:w="50" w:type="dxa"/>
              <w:bottom w:w="150" w:type="dxa"/>
              <w:right w:w="50" w:type="dxa"/>
            </w:tcMar>
            <w:vAlign w:val="center"/>
          </w:tcPr>
          <w:p w14:paraId="305DABAB" w14:textId="77777777" w:rsidR="008E1CF2" w:rsidRDefault="00000000">
            <w:pPr>
              <w:jc w:val="center"/>
            </w:pPr>
            <w:r>
              <w:rPr>
                <w:b/>
                <w:bCs/>
                <w:color w:val="FFFFFF"/>
                <w:sz w:val="26"/>
                <w:szCs w:val="26"/>
              </w:rPr>
              <w:t>9</w:t>
            </w:r>
          </w:p>
        </w:tc>
        <w:tc>
          <w:tcPr>
            <w:tcW w:w="8476" w:type="dxa"/>
            <w:tcBorders>
              <w:top w:val="single" w:sz="1" w:space="0" w:color="FFFFFF"/>
              <w:left w:val="single" w:sz="1" w:space="0" w:color="FFFFFF"/>
              <w:bottom w:val="single" w:sz="1" w:space="0" w:color="FFFFFF"/>
              <w:right w:val="single" w:sz="1" w:space="0" w:color="FFFFFF"/>
            </w:tcBorders>
            <w:shd w:val="clear" w:color="auto" w:fill="F8F9FA"/>
            <w:tcMar>
              <w:top w:w="150" w:type="dxa"/>
              <w:left w:w="200" w:type="dxa"/>
              <w:bottom w:w="150" w:type="dxa"/>
              <w:right w:w="150" w:type="dxa"/>
            </w:tcMar>
          </w:tcPr>
          <w:p w14:paraId="148F8448" w14:textId="77777777" w:rsidR="008E1CF2" w:rsidRDefault="00000000">
            <w:pPr>
              <w:spacing w:after="80"/>
            </w:pPr>
            <w:r>
              <w:rPr>
                <w:b/>
                <w:bCs/>
                <w:color w:val="1F4E79"/>
              </w:rPr>
              <w:t>AI Deployment Accelerating</w:t>
            </w:r>
          </w:p>
          <w:p w14:paraId="60D28ABB" w14:textId="77777777" w:rsidR="008E1CF2" w:rsidRDefault="00000000">
            <w:r>
              <w:rPr>
                <w:sz w:val="21"/>
                <w:szCs w:val="21"/>
              </w:rPr>
              <w:t xml:space="preserve">AI in CT colonography is piloted across half of English hospitals. Full deployment could deliver 555,000 additional X-ray reports and 80,000 CT reports annually. Ambient voice technology saved 2,500 hours at one Trust in six months; GP surgeries report </w:t>
            </w:r>
            <w:proofErr w:type="gramStart"/>
            <w:r>
              <w:rPr>
                <w:sz w:val="21"/>
                <w:szCs w:val="21"/>
              </w:rPr>
              <w:t>1-2 minute</w:t>
            </w:r>
            <w:proofErr w:type="gramEnd"/>
            <w:r>
              <w:rPr>
                <w:sz w:val="21"/>
                <w:szCs w:val="21"/>
              </w:rPr>
              <w:t xml:space="preserve"> savings per patient contact.</w:t>
            </w:r>
          </w:p>
        </w:tc>
      </w:tr>
    </w:tbl>
    <w:p w14:paraId="78F6F070" w14:textId="77777777" w:rsidR="008E1CF2" w:rsidRDefault="008E1CF2">
      <w:pPr>
        <w:spacing w:after="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7"/>
        <w:gridCol w:w="9049"/>
      </w:tblGrid>
      <w:tr w:rsidR="008E1CF2" w14:paraId="3C4B9EB3" w14:textId="77777777">
        <w:tblPrEx>
          <w:tblCellMar>
            <w:top w:w="0" w:type="dxa"/>
            <w:bottom w:w="0" w:type="dxa"/>
          </w:tblCellMar>
        </w:tblPrEx>
        <w:tc>
          <w:tcPr>
            <w:tcW w:w="550" w:type="dxa"/>
            <w:tcBorders>
              <w:top w:val="single" w:sz="1" w:space="0" w:color="FFFFFF"/>
              <w:left w:val="single" w:sz="1" w:space="0" w:color="FFFFFF"/>
              <w:bottom w:val="single" w:sz="1" w:space="0" w:color="FFFFFF"/>
              <w:right w:val="single" w:sz="1" w:space="0" w:color="FFFFFF"/>
            </w:tcBorders>
            <w:shd w:val="clear" w:color="auto" w:fill="1F4E79"/>
            <w:tcMar>
              <w:top w:w="150" w:type="dxa"/>
              <w:left w:w="50" w:type="dxa"/>
              <w:bottom w:w="150" w:type="dxa"/>
              <w:right w:w="50" w:type="dxa"/>
            </w:tcMar>
            <w:vAlign w:val="center"/>
          </w:tcPr>
          <w:p w14:paraId="3472F7B1" w14:textId="77777777" w:rsidR="008E1CF2" w:rsidRDefault="00000000">
            <w:pPr>
              <w:jc w:val="center"/>
            </w:pPr>
            <w:r>
              <w:rPr>
                <w:b/>
                <w:bCs/>
                <w:color w:val="FFFFFF"/>
                <w:sz w:val="26"/>
                <w:szCs w:val="26"/>
              </w:rPr>
              <w:t>10</w:t>
            </w:r>
          </w:p>
        </w:tc>
        <w:tc>
          <w:tcPr>
            <w:tcW w:w="8476" w:type="dxa"/>
            <w:tcBorders>
              <w:top w:val="single" w:sz="1" w:space="0" w:color="FFFFFF"/>
              <w:left w:val="single" w:sz="1" w:space="0" w:color="FFFFFF"/>
              <w:bottom w:val="single" w:sz="1" w:space="0" w:color="FFFFFF"/>
              <w:right w:val="single" w:sz="1" w:space="0" w:color="FFFFFF"/>
            </w:tcBorders>
            <w:shd w:val="clear" w:color="auto" w:fill="F8F9FA"/>
            <w:tcMar>
              <w:top w:w="150" w:type="dxa"/>
              <w:left w:w="200" w:type="dxa"/>
              <w:bottom w:w="150" w:type="dxa"/>
              <w:right w:w="150" w:type="dxa"/>
            </w:tcMar>
          </w:tcPr>
          <w:p w14:paraId="399516A5" w14:textId="77777777" w:rsidR="008E1CF2" w:rsidRDefault="00000000">
            <w:pPr>
              <w:spacing w:after="80"/>
            </w:pPr>
            <w:r>
              <w:rPr>
                <w:b/>
                <w:bCs/>
                <w:color w:val="1F4E79"/>
              </w:rPr>
              <w:t>Productivity Targets Unprecedented</w:t>
            </w:r>
          </w:p>
          <w:p w14:paraId="27928D83" w14:textId="77777777" w:rsidR="008E1CF2" w:rsidRDefault="00000000">
            <w:r>
              <w:rPr>
                <w:sz w:val="21"/>
                <w:szCs w:val="21"/>
              </w:rPr>
              <w:t>The 2% annual productivity target is more than triple the 0.6% historic average. NHS productivity remains 8% below pre-pandemic levels. The document does not explain how sustained unprecedented productivity growth will be achieved.</w:t>
            </w:r>
          </w:p>
        </w:tc>
      </w:tr>
    </w:tbl>
    <w:p w14:paraId="3C141723" w14:textId="77777777" w:rsidR="008E1CF2" w:rsidRDefault="0000000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92"/>
      </w:tblGrid>
      <w:tr w:rsidR="008E1CF2" w14:paraId="4AD4D6F2" w14:textId="77777777">
        <w:tblPrEx>
          <w:tblCellMar>
            <w:top w:w="0" w:type="dxa"/>
            <w:bottom w:w="0" w:type="dxa"/>
          </w:tblCellMar>
        </w:tblPrEx>
        <w:tc>
          <w:tcPr>
            <w:tcW w:w="0" w:type="auto"/>
            <w:tcBorders>
              <w:top w:val="single" w:sz="1" w:space="0" w:color="FFFFFF"/>
              <w:left w:val="single" w:sz="36" w:space="0" w:color="2E7D32"/>
              <w:bottom w:val="single" w:sz="1" w:space="0" w:color="FFFFFF"/>
              <w:right w:val="single" w:sz="1" w:space="0" w:color="FFFFFF"/>
            </w:tcBorders>
            <w:shd w:val="clear" w:color="auto" w:fill="FFFFFF"/>
            <w:tcMar>
              <w:top w:w="150" w:type="dxa"/>
              <w:left w:w="200" w:type="dxa"/>
              <w:bottom w:w="150" w:type="dxa"/>
              <w:right w:w="100" w:type="dxa"/>
            </w:tcMar>
          </w:tcPr>
          <w:p w14:paraId="69C878F2" w14:textId="77777777" w:rsidR="008E1CF2" w:rsidRDefault="00000000">
            <w:r>
              <w:rPr>
                <w:b/>
                <w:bCs/>
                <w:color w:val="2E7D32"/>
                <w:sz w:val="28"/>
                <w:szCs w:val="28"/>
              </w:rPr>
              <w:lastRenderedPageBreak/>
              <w:t>PART 2: GENERAL PRACTICE ANALYSIS</w:t>
            </w:r>
          </w:p>
        </w:tc>
      </w:tr>
    </w:tbl>
    <w:p w14:paraId="6246E57E" w14:textId="77777777" w:rsidR="008E1CF2" w:rsidRDefault="008E1CF2">
      <w:pPr>
        <w:spacing w:after="250"/>
      </w:pPr>
    </w:p>
    <w:p w14:paraId="54DEFBF9" w14:textId="77777777" w:rsidR="008E1CF2" w:rsidRDefault="00000000">
      <w:pPr>
        <w:spacing w:after="200"/>
      </w:pPr>
      <w:r>
        <w:t>General practice appears throughout the Impact Statement as both a cornerstone of the neighbourhood model and a sector requiring fundamental reform. The document explicitly acknowledges the inverse care law operating against deprived communities and signals major changes to how primary care is funded, organised, and delivered. For GPs, this document contains both significant opportunities and substantial risks.</w:t>
      </w:r>
    </w:p>
    <w:p w14:paraId="09755A33" w14:textId="77777777" w:rsidR="008E1CF2" w:rsidRDefault="00000000">
      <w:pPr>
        <w:pStyle w:val="Heading2"/>
      </w:pPr>
      <w:r>
        <w:t>Funding and Resource Allocation</w:t>
      </w:r>
    </w:p>
    <w:p w14:paraId="761208BA" w14:textId="77777777" w:rsidR="008E1CF2" w:rsidRDefault="00000000">
      <w:pPr>
        <w:spacing w:after="200"/>
      </w:pPr>
      <w:r>
        <w:t>The Impact Statement contains a significant admission about GP funding inequalities. It confirms that practices serving England's most deprived quintile received on average £14 less in NHS payments per weighted patient in 2022 than practices in the least deprived areas. Both the Royal College of General Practitioners and the Nuffield Trust have recommended reform, and the plan commits to reviewing the Carr-Hill formula.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07"/>
      </w:tblGrid>
      <w:tr w:rsidR="008E1CF2" w14:paraId="1D4CFD22" w14:textId="77777777">
        <w:tblPrEx>
          <w:tblCellMar>
            <w:top w:w="0" w:type="dxa"/>
            <w:bottom w:w="0" w:type="dxa"/>
          </w:tblCellMar>
        </w:tblPrEx>
        <w:tc>
          <w:tcPr>
            <w:tcW w:w="0" w:type="auto"/>
            <w:tcBorders>
              <w:top w:val="single" w:sz="1" w:space="0" w:color="FFFFFF"/>
              <w:left w:val="single" w:sz="24" w:space="0" w:color="2E75B6"/>
              <w:bottom w:val="single" w:sz="1" w:space="0" w:color="FFFFFF"/>
              <w:right w:val="single" w:sz="1" w:space="0" w:color="FFFFFF"/>
            </w:tcBorders>
            <w:shd w:val="clear" w:color="auto" w:fill="F5F9FC"/>
            <w:tcMar>
              <w:top w:w="200" w:type="dxa"/>
              <w:left w:w="300" w:type="dxa"/>
              <w:bottom w:w="200" w:type="dxa"/>
              <w:right w:w="200" w:type="dxa"/>
            </w:tcMar>
          </w:tcPr>
          <w:p w14:paraId="2CE5BC3C" w14:textId="77777777" w:rsidR="008E1CF2" w:rsidRDefault="00000000">
            <w:pPr>
              <w:spacing w:after="100"/>
            </w:pPr>
            <w:r>
              <w:rPr>
                <w:rFonts w:ascii="Georgia" w:eastAsia="Georgia" w:hAnsi="Georgia" w:cs="Georgia"/>
                <w:i/>
                <w:iCs/>
                <w:color w:val="404040"/>
                <w:sz w:val="24"/>
                <w:szCs w:val="24"/>
              </w:rPr>
              <w:t>"The biggest single funding stream for most practices is the global sum payment, determined by the Carr-Hill formula, which estimates patient workload rather than health need"</w:t>
            </w:r>
          </w:p>
          <w:p w14:paraId="04731C99" w14:textId="77777777" w:rsidR="008E1CF2" w:rsidRDefault="00000000">
            <w:pPr>
              <w:spacing w:after="100"/>
            </w:pPr>
            <w:r>
              <w:rPr>
                <w:i/>
                <w:iCs/>
                <w:color w:val="666666"/>
                <w:sz w:val="18"/>
                <w:szCs w:val="18"/>
              </w:rPr>
              <w:t>— Impact Statement, p.32</w:t>
            </w:r>
          </w:p>
          <w:p w14:paraId="4F1CC20B" w14:textId="77777777" w:rsidR="008E1CF2" w:rsidRDefault="00000000">
            <w:r>
              <w:rPr>
                <w:b/>
                <w:bCs/>
                <w:color w:val="1F4E79"/>
                <w:sz w:val="20"/>
                <w:szCs w:val="20"/>
              </w:rPr>
              <w:t>This structural problem means practices serving populations with greatest health challenges receive less funding per patient.</w:t>
            </w:r>
          </w:p>
        </w:tc>
      </w:tr>
    </w:tbl>
    <w:p w14:paraId="2D97D2BA" w14:textId="77777777" w:rsidR="008E1CF2" w:rsidRDefault="008E1CF2">
      <w:pPr>
        <w:spacing w:after="200"/>
      </w:pPr>
    </w:p>
    <w:p w14:paraId="347BE716" w14:textId="77777777" w:rsidR="008E1CF2" w:rsidRDefault="00000000">
      <w:pPr>
        <w:spacing w:after="200"/>
      </w:pPr>
      <w:r>
        <w:t>The plan commits to reviewing how health need is reflected in nationally determined contracts, with potential for 'more radical funding options' including switching from workload-based to need-based allocation. ICB allocations will move towards target values more quickly, ensuring areas with greatest health challenges receive appropriate funding sooner.</w:t>
      </w:r>
    </w:p>
    <w:p w14:paraId="105D15B4" w14:textId="77777777" w:rsidR="008E1CF2" w:rsidRDefault="00000000">
      <w:pPr>
        <w:spacing w:after="200"/>
      </w:pPr>
      <w:r>
        <w:rPr>
          <w:b/>
          <w:bCs/>
        </w:rPr>
        <w:t>However, any redistribution creates winners and losers.</w:t>
      </w:r>
      <w:r>
        <w:t xml:space="preserve"> The document acknowledges this could mean slower funding growth or absolute reductions for some areas. Practices in relatively affluent areas currently receiving above-target allocations should prepare for this possibility. Practices in deprived areas may see increased funding, but the transition timeline and magnitude remain uncertain.</w:t>
      </w:r>
    </w:p>
    <w:p w14:paraId="5E1664A5" w14:textId="77777777" w:rsidR="008E1CF2" w:rsidRDefault="00000000">
      <w:pPr>
        <w:pStyle w:val="Heading2"/>
      </w:pPr>
      <w:r>
        <w:t>The Missing Question: Overall Funding Levels</w:t>
      </w:r>
    </w:p>
    <w:p w14:paraId="1C1FE802" w14:textId="77777777" w:rsidR="008E1CF2" w:rsidRDefault="00000000">
      <w:pPr>
        <w:spacing w:after="200"/>
      </w:pPr>
      <w:r>
        <w:t>While the Impact Statement addresses the distribution of GP funding in some detail, there is a notable absence: any discussion of whether the overall quantum of primary care funding is adequate.</w:t>
      </w:r>
    </w:p>
    <w:p w14:paraId="0F1454F2" w14:textId="77777777" w:rsidR="008E1CF2" w:rsidRDefault="00000000">
      <w:pPr>
        <w:spacing w:after="200"/>
      </w:pPr>
      <w:r>
        <w:t xml:space="preserve">The document discusses redistribution explicitly 'for a given envelope'—meaning within existing resources. It does not address whether that envelope is sufficient to deliver the transformation being asked of general practice. There is no mention of renegotiating the national GP contract, no commitment to increasing primary care's share of NHS spending, and no acknowledgment of the longstanding argument that general practice receives approximately 7-8% of NHS funding while handling </w:t>
      </w:r>
      <w:proofErr w:type="gramStart"/>
      <w:r>
        <w:t>the vast majority of</w:t>
      </w:r>
      <w:proofErr w:type="gramEnd"/>
      <w:r>
        <w:t xml:space="preserve"> patient contacts.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07"/>
      </w:tblGrid>
      <w:tr w:rsidR="008E1CF2" w14:paraId="003F31E2" w14:textId="77777777">
        <w:tblPrEx>
          <w:tblCellMar>
            <w:top w:w="0" w:type="dxa"/>
            <w:bottom w:w="0" w:type="dxa"/>
          </w:tblCellMar>
        </w:tblPrEx>
        <w:tc>
          <w:tcPr>
            <w:tcW w:w="0" w:type="auto"/>
            <w:tcBorders>
              <w:top w:val="single" w:sz="1" w:space="0" w:color="FFFFFF"/>
              <w:left w:val="single" w:sz="24" w:space="0" w:color="2E75B6"/>
              <w:bottom w:val="single" w:sz="1" w:space="0" w:color="FFFFFF"/>
              <w:right w:val="single" w:sz="1" w:space="0" w:color="FFFFFF"/>
            </w:tcBorders>
            <w:shd w:val="clear" w:color="auto" w:fill="F5F9FC"/>
            <w:tcMar>
              <w:top w:w="200" w:type="dxa"/>
              <w:left w:w="300" w:type="dxa"/>
              <w:bottom w:w="200" w:type="dxa"/>
              <w:right w:w="200" w:type="dxa"/>
            </w:tcMar>
          </w:tcPr>
          <w:p w14:paraId="1A0B6E94" w14:textId="77777777" w:rsidR="008E1CF2" w:rsidRDefault="00000000">
            <w:pPr>
              <w:spacing w:after="100"/>
            </w:pPr>
            <w:r>
              <w:rPr>
                <w:rFonts w:ascii="Georgia" w:eastAsia="Georgia" w:hAnsi="Georgia" w:cs="Georgia"/>
                <w:i/>
                <w:iCs/>
                <w:color w:val="404040"/>
                <w:sz w:val="24"/>
                <w:szCs w:val="24"/>
              </w:rPr>
              <w:t>"Any change to allocations formulae, for a given envelope, results in some beneficiaries and others receiving lower allocations"</w:t>
            </w:r>
          </w:p>
          <w:p w14:paraId="439DF31D" w14:textId="77777777" w:rsidR="008E1CF2" w:rsidRDefault="00000000">
            <w:pPr>
              <w:spacing w:after="100"/>
            </w:pPr>
            <w:r>
              <w:rPr>
                <w:i/>
                <w:iCs/>
                <w:color w:val="666666"/>
                <w:sz w:val="18"/>
                <w:szCs w:val="18"/>
              </w:rPr>
              <w:t>— Impact Statement, p.33</w:t>
            </w:r>
          </w:p>
          <w:p w14:paraId="1D848717" w14:textId="77777777" w:rsidR="008E1CF2" w:rsidRDefault="00000000">
            <w:r>
              <w:rPr>
                <w:b/>
                <w:bCs/>
                <w:color w:val="1F4E79"/>
                <w:sz w:val="20"/>
                <w:szCs w:val="20"/>
              </w:rPr>
              <w:lastRenderedPageBreak/>
              <w:t>The phrase 'for a given envelope' is telling. This is about redistribution within existing resources, not expansion of those resources.</w:t>
            </w:r>
          </w:p>
        </w:tc>
      </w:tr>
    </w:tbl>
    <w:p w14:paraId="13696B3E" w14:textId="77777777" w:rsidR="008E1CF2" w:rsidRDefault="008E1CF2">
      <w:pPr>
        <w:spacing w:after="200"/>
      </w:pPr>
    </w:p>
    <w:p w14:paraId="4E43EF95" w14:textId="77777777" w:rsidR="008E1CF2" w:rsidRDefault="00000000">
      <w:pPr>
        <w:spacing w:after="200"/>
      </w:pPr>
      <w:r>
        <w:rPr>
          <w:b/>
          <w:bCs/>
        </w:rPr>
        <w:t>This is a significant omission.</w:t>
      </w:r>
      <w:r>
        <w:t xml:space="preserve"> The plan asks general practice to deliver neighbourhood health services, expand care planning from 20% to 95% coverage, integrate into MDTs, absorb financial risk through year-of-care payments, and transform digitally. But it does not commit to increasing the resources available to do this. The only funding mechanism mentioned is the hope that </w:t>
      </w:r>
      <w:r>
        <w:rPr>
          <w:i/>
          <w:iCs/>
        </w:rPr>
        <w:t>'demand for acute care will fall with increases in community services and associated funding and resource shifts between the settings.'</w:t>
      </w:r>
    </w:p>
    <w:p w14:paraId="1F4B08F8" w14:textId="77777777" w:rsidR="008E1CF2" w:rsidRDefault="00000000">
      <w:pPr>
        <w:spacing w:after="200"/>
      </w:pPr>
      <w:r>
        <w:t>In other words, the plan's viability for general practice rests on efficiency gains and resource shifts from acute care that the document's own evidence suggests are uncertain and slow to materialise. The Impact Statement acknowledges that previous attempts to shift resources from hospital to community have repeatedly failed—yet it offers the same mechanism as the solution.</w:t>
      </w:r>
    </w:p>
    <w:p w14:paraId="1CA3D5FB" w14:textId="77777777" w:rsidR="008E1CF2" w:rsidRDefault="00000000">
      <w:pPr>
        <w:pStyle w:val="Heading2"/>
      </w:pPr>
      <w:r>
        <w:t>Workforce and Training</w:t>
      </w:r>
    </w:p>
    <w:p w14:paraId="5454C763" w14:textId="77777777" w:rsidR="008E1CF2" w:rsidRDefault="00000000">
      <w:pPr>
        <w:spacing w:after="200"/>
      </w:pPr>
      <w:r>
        <w:t>The plan commits to training more GPs, with PSSRU estimating the total investment per GP at £504,000 including salaries during foundation stage, living expenses, and training costs. Additional Roles Reimbursement Scheme (ARRS) funding through the GP contract aims to mitigate short-term risks of insufficient funding for GP posts.</w:t>
      </w:r>
    </w:p>
    <w:p w14:paraId="53720C90" w14:textId="77777777" w:rsidR="008E1CF2" w:rsidRDefault="00000000">
      <w:pPr>
        <w:spacing w:after="200"/>
      </w:pPr>
      <w:r>
        <w:t>However, the document identifies a critical risk that speaks directly to current workforce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07"/>
      </w:tblGrid>
      <w:tr w:rsidR="008E1CF2" w14:paraId="4FF25554" w14:textId="77777777">
        <w:tblPrEx>
          <w:tblCellMar>
            <w:top w:w="0" w:type="dxa"/>
            <w:bottom w:w="0" w:type="dxa"/>
          </w:tblCellMar>
        </w:tblPrEx>
        <w:tc>
          <w:tcPr>
            <w:tcW w:w="0" w:type="auto"/>
            <w:tcBorders>
              <w:top w:val="single" w:sz="1" w:space="0" w:color="FFFFFF"/>
              <w:left w:val="single" w:sz="24" w:space="0" w:color="2E75B6"/>
              <w:bottom w:val="single" w:sz="1" w:space="0" w:color="FFFFFF"/>
              <w:right w:val="single" w:sz="1" w:space="0" w:color="FFFFFF"/>
            </w:tcBorders>
            <w:shd w:val="clear" w:color="auto" w:fill="F5F9FC"/>
            <w:tcMar>
              <w:top w:w="200" w:type="dxa"/>
              <w:left w:w="300" w:type="dxa"/>
              <w:bottom w:w="200" w:type="dxa"/>
              <w:right w:w="200" w:type="dxa"/>
            </w:tcMar>
          </w:tcPr>
          <w:p w14:paraId="5958C3DB" w14:textId="77777777" w:rsidR="008E1CF2" w:rsidRDefault="00000000">
            <w:pPr>
              <w:spacing w:after="100"/>
            </w:pPr>
            <w:r>
              <w:rPr>
                <w:rFonts w:ascii="Georgia" w:eastAsia="Georgia" w:hAnsi="Georgia" w:cs="Georgia"/>
                <w:i/>
                <w:iCs/>
                <w:color w:val="404040"/>
                <w:sz w:val="24"/>
                <w:szCs w:val="24"/>
              </w:rPr>
              <w:t>"If there is insufficient demand to recruit GPs upon their completion of training, or inadequate funding to support the new hires, the training risks being an inappropriate use of health care system, and trainees' resources"</w:t>
            </w:r>
          </w:p>
          <w:p w14:paraId="3D5E96B4" w14:textId="77777777" w:rsidR="008E1CF2" w:rsidRDefault="00000000">
            <w:pPr>
              <w:spacing w:after="100"/>
            </w:pPr>
            <w:r>
              <w:rPr>
                <w:i/>
                <w:iCs/>
                <w:color w:val="666666"/>
                <w:sz w:val="18"/>
                <w:szCs w:val="18"/>
              </w:rPr>
              <w:t>— Impact Statement, p.34</w:t>
            </w:r>
          </w:p>
          <w:p w14:paraId="70C851AD" w14:textId="77777777" w:rsidR="008E1CF2" w:rsidRDefault="00000000">
            <w:r>
              <w:rPr>
                <w:b/>
                <w:bCs/>
                <w:color w:val="1F4E79"/>
                <w:sz w:val="20"/>
                <w:szCs w:val="20"/>
              </w:rPr>
              <w:t>The document acknowledges the paradox of training GPs who cannot find funded posts—a situation already occurring.</w:t>
            </w:r>
          </w:p>
        </w:tc>
      </w:tr>
    </w:tbl>
    <w:p w14:paraId="1EC05E8B" w14:textId="77777777" w:rsidR="008E1CF2" w:rsidRDefault="008E1CF2">
      <w:pPr>
        <w:spacing w:after="200"/>
      </w:pPr>
    </w:p>
    <w:p w14:paraId="54F7CAF8" w14:textId="77777777" w:rsidR="008E1CF2" w:rsidRDefault="00000000">
      <w:pPr>
        <w:spacing w:after="200"/>
      </w:pPr>
      <w:r>
        <w:t>The plan's logic is that as neighbourhood services scale up, demand for acute care falls, releasing resources for community settings. But this requires careful sequencing—the community capacity must be built before acute demand reduces, not after. The document does not explain how this sequencing will be managed, or what happens if the productivity savings required to fund community expansion do not materialise.</w:t>
      </w:r>
    </w:p>
    <w:p w14:paraId="41326914" w14:textId="77777777" w:rsidR="008E1CF2" w:rsidRDefault="00000000">
      <w:pPr>
        <w:pStyle w:val="Heading2"/>
      </w:pPr>
      <w:r>
        <w:t>Service Model Transformation</w:t>
      </w:r>
    </w:p>
    <w:p w14:paraId="45F60E10" w14:textId="77777777" w:rsidR="008E1CF2" w:rsidRDefault="00000000">
      <w:pPr>
        <w:spacing w:after="200"/>
      </w:pPr>
      <w:r>
        <w:t>GPs will work as part of neighbourhood MDTs covering approximately 50,000 people. This represents a fundamental change from the traditional model of autonomous practices serving their registered populations. The document notes that currently around 20% of people with long-term conditions have a care plan, with an aim to reach 95% of people with complex needs by 2027. Nurses currently spend around 20% of their time on care planning activities—this proportion will increase substantially.</w:t>
      </w:r>
    </w:p>
    <w:p w14:paraId="0B8667F0" w14:textId="77777777" w:rsidR="008E1CF2" w:rsidRDefault="00000000">
      <w:pPr>
        <w:spacing w:after="200"/>
      </w:pPr>
      <w:r>
        <w:t>Same-day digital or telephone consultations will become standard for those who need them. Patient-initiated follow-up will become the standard approach for clinically appropriate pathways by 2026. Research shows statistically significant relationships between GP appointment volumes and patient satisfaction, with 0.14 percentage point increases in satisfaction for every additional 1,000 appointments.</w:t>
      </w:r>
    </w:p>
    <w:p w14:paraId="3E4E19C9" w14:textId="77777777" w:rsidR="008E1CF2" w:rsidRDefault="00000000">
      <w:pPr>
        <w:spacing w:after="200"/>
      </w:pPr>
      <w:r>
        <w:lastRenderedPageBreak/>
        <w:t xml:space="preserve">The Greater Manchester Community Pharmacy Care Plan supporting adults with long-term conditions found NHS service use per patient dropped by approximately £200. Internal reporting from 53 GP surgeries showed ambient scribe technology could save 1-2 minutes per patient contact. </w:t>
      </w:r>
      <w:r>
        <w:rPr>
          <w:b/>
          <w:bCs/>
        </w:rPr>
        <w:t>Scaled across thousands of contacts annually, these efficiency gains are significant—but only for practices that adopt these approaches and technologies.</w:t>
      </w:r>
    </w:p>
    <w:p w14:paraId="55400551" w14:textId="77777777" w:rsidR="008E1CF2" w:rsidRDefault="00000000">
      <w:pPr>
        <w:pStyle w:val="Heading2"/>
      </w:pPr>
      <w:r>
        <w:t>Financial Incentive Changes</w:t>
      </w:r>
    </w:p>
    <w:p w14:paraId="1418D157" w14:textId="77777777" w:rsidR="008E1CF2" w:rsidRDefault="00000000">
      <w:pPr>
        <w:spacing w:after="200"/>
      </w:pPr>
      <w:r>
        <w:t>The document acknowledges that historical financial incentives have conflicted with community care ambitions. Tariffs in acute settings incentivise activity while block contracts in community settings incentivise the opposite. Year-of-care payments will be trialled from April 2026, covering primary, community, mental health, specialist outpatient, and emergency activity in a single payment.</w:t>
      </w:r>
    </w:p>
    <w:p w14:paraId="1723B313" w14:textId="77777777" w:rsidR="008E1CF2" w:rsidRDefault="00000000">
      <w:pPr>
        <w:spacing w:after="200"/>
      </w:pPr>
      <w:r>
        <w:t>This is potentially the most radical financial change for general practice in decades. If successful, it creates incentives for proactive community management and allows practices to keep a share of savings from reduced acute activity. However, it also transfers financial risk to primary care—if patients require more care than the payment covers, the shortfall falls on the practice or PCN.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07"/>
      </w:tblGrid>
      <w:tr w:rsidR="008E1CF2" w14:paraId="3E65911F" w14:textId="77777777">
        <w:tblPrEx>
          <w:tblCellMar>
            <w:top w:w="0" w:type="dxa"/>
            <w:bottom w:w="0" w:type="dxa"/>
          </w:tblCellMar>
        </w:tblPrEx>
        <w:tc>
          <w:tcPr>
            <w:tcW w:w="0" w:type="auto"/>
            <w:tcBorders>
              <w:top w:val="single" w:sz="1" w:space="0" w:color="FFFFFF"/>
              <w:left w:val="single" w:sz="24" w:space="0" w:color="2E75B6"/>
              <w:bottom w:val="single" w:sz="1" w:space="0" w:color="FFFFFF"/>
              <w:right w:val="single" w:sz="1" w:space="0" w:color="FFFFFF"/>
            </w:tcBorders>
            <w:shd w:val="clear" w:color="auto" w:fill="F5F9FC"/>
            <w:tcMar>
              <w:top w:w="200" w:type="dxa"/>
              <w:left w:w="300" w:type="dxa"/>
              <w:bottom w:w="200" w:type="dxa"/>
              <w:right w:w="200" w:type="dxa"/>
            </w:tcMar>
          </w:tcPr>
          <w:p w14:paraId="4F99A9C8" w14:textId="77777777" w:rsidR="008E1CF2" w:rsidRDefault="00000000">
            <w:pPr>
              <w:spacing w:after="100"/>
            </w:pPr>
            <w:r>
              <w:rPr>
                <w:rFonts w:ascii="Georgia" w:eastAsia="Georgia" w:hAnsi="Georgia" w:cs="Georgia"/>
                <w:i/>
                <w:iCs/>
                <w:color w:val="404040"/>
                <w:sz w:val="24"/>
                <w:szCs w:val="24"/>
              </w:rPr>
              <w:t>"18% of the population accounts for 58% of secondary care costs"</w:t>
            </w:r>
          </w:p>
          <w:p w14:paraId="55133B3E" w14:textId="77777777" w:rsidR="008E1CF2" w:rsidRDefault="00000000">
            <w:pPr>
              <w:spacing w:after="100"/>
            </w:pPr>
            <w:r>
              <w:rPr>
                <w:i/>
                <w:iCs/>
                <w:color w:val="666666"/>
                <w:sz w:val="18"/>
                <w:szCs w:val="18"/>
              </w:rPr>
              <w:t>— Impact Statement, p.44</w:t>
            </w:r>
          </w:p>
          <w:p w14:paraId="5DD48E57" w14:textId="77777777" w:rsidR="008E1CF2" w:rsidRDefault="00000000">
            <w:r>
              <w:rPr>
                <w:b/>
                <w:bCs/>
                <w:color w:val="1F4E79"/>
                <w:sz w:val="20"/>
                <w:szCs w:val="20"/>
              </w:rPr>
              <w:t>Understanding which patients fall into this high-cost category becomes essential to financial viability under year-of-care payments.</w:t>
            </w:r>
          </w:p>
        </w:tc>
      </w:tr>
    </w:tbl>
    <w:p w14:paraId="597D3338" w14:textId="77777777" w:rsidR="008E1CF2" w:rsidRDefault="008E1CF2">
      <w:pPr>
        <w:spacing w:after="200"/>
      </w:pPr>
    </w:p>
    <w:p w14:paraId="3322C6D5" w14:textId="77777777" w:rsidR="008E1CF2" w:rsidRDefault="00000000">
      <w:pPr>
        <w:spacing w:after="200"/>
      </w:pPr>
      <w:r>
        <w:t>From April 2026, several ICBs will trial new financial flows enabling them to receive some resources saved through reduced acute activity. Best practice tariffs will extend to more clinical pathways, and tariffs for community and mental health services will be developed—though the document acknowledges data quality challenges in these sectors.</w:t>
      </w:r>
    </w:p>
    <w:p w14:paraId="5832AAE6" w14:textId="77777777" w:rsidR="008E1CF2" w:rsidRDefault="00000000">
      <w:pPr>
        <w:pStyle w:val="Heading2"/>
      </w:pPr>
      <w:r>
        <w:t>Digital Infrastructure</w:t>
      </w:r>
    </w:p>
    <w:p w14:paraId="2AD32B5F" w14:textId="77777777" w:rsidR="008E1CF2" w:rsidRDefault="00000000">
      <w:pPr>
        <w:spacing w:after="200"/>
      </w:pPr>
      <w:r>
        <w:t>The Single Patient Record will give GPs access to information across all care settings, including hospital records, social care data, and potentially wearable device data. This represents a significant advance on current fragmented systems. The NHS App will integrate appointment booking, medicine management, and care plan access.</w:t>
      </w:r>
    </w:p>
    <w:p w14:paraId="0233B1FC" w14:textId="77777777" w:rsidR="008E1CF2" w:rsidRDefault="00000000">
      <w:pPr>
        <w:spacing w:after="200"/>
      </w:pPr>
      <w:r>
        <w:t>Most GP practices already have cloud-based telephony, online consultation platforms, and appointment booking systems, but there is variation in quality and capability. The document shows that 7 in 10 patients already use online GP services, with online booking rising from 6.8% in 2015 to 41% in 2024. Digital care navigation tools and AI chatbots will be integrated into GP telephony systems.</w:t>
      </w:r>
    </w:p>
    <w:p w14:paraId="143FB531" w14:textId="77777777" w:rsidR="008E1CF2" w:rsidRDefault="00000000">
      <w:pPr>
        <w:spacing w:after="200"/>
      </w:pPr>
      <w:r>
        <w:t xml:space="preserve">The direction is clear: </w:t>
      </w:r>
      <w:r>
        <w:rPr>
          <w:b/>
          <w:bCs/>
        </w:rPr>
        <w:t>digital-first with face-to-face care reserved for those who need it most.</w:t>
      </w:r>
      <w:r>
        <w:t xml:space="preserve"> The document acknowledges risks of digital exclusion, but the policy trajectory is unmistakable. Practices that cannot or will not adopt these technologies will find themselves increasingly out of step with contractual requirements and patient expectations.</w:t>
      </w:r>
    </w:p>
    <w:p w14:paraId="6B16C575" w14:textId="77777777" w:rsidR="008E1CF2" w:rsidRDefault="0000000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92"/>
      </w:tblGrid>
      <w:tr w:rsidR="008E1CF2" w14:paraId="5BEF3004" w14:textId="77777777">
        <w:tblPrEx>
          <w:tblCellMar>
            <w:top w:w="0" w:type="dxa"/>
            <w:bottom w:w="0" w:type="dxa"/>
          </w:tblCellMar>
        </w:tblPrEx>
        <w:tc>
          <w:tcPr>
            <w:tcW w:w="0" w:type="auto"/>
            <w:tcBorders>
              <w:top w:val="single" w:sz="1" w:space="0" w:color="FFFFFF"/>
              <w:left w:val="single" w:sz="36" w:space="0" w:color="1F4E79"/>
              <w:bottom w:val="single" w:sz="1" w:space="0" w:color="FFFFFF"/>
              <w:right w:val="single" w:sz="1" w:space="0" w:color="FFFFFF"/>
            </w:tcBorders>
            <w:shd w:val="clear" w:color="auto" w:fill="FFFFFF"/>
            <w:tcMar>
              <w:top w:w="150" w:type="dxa"/>
              <w:left w:w="200" w:type="dxa"/>
              <w:bottom w:w="150" w:type="dxa"/>
              <w:right w:w="100" w:type="dxa"/>
            </w:tcMar>
          </w:tcPr>
          <w:p w14:paraId="63A2143C" w14:textId="77777777" w:rsidR="008E1CF2" w:rsidRDefault="00000000">
            <w:r>
              <w:rPr>
                <w:b/>
                <w:bCs/>
                <w:color w:val="1F4E79"/>
                <w:sz w:val="28"/>
                <w:szCs w:val="28"/>
              </w:rPr>
              <w:lastRenderedPageBreak/>
              <w:t>5 KEY TAKEAWAYS FOR GENERAL PRACTICE</w:t>
            </w:r>
          </w:p>
        </w:tc>
      </w:tr>
    </w:tbl>
    <w:p w14:paraId="0211EAB7" w14:textId="77777777" w:rsidR="008E1CF2" w:rsidRDefault="008E1CF2">
      <w:pPr>
        <w:spacing w:after="2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7"/>
        <w:gridCol w:w="9049"/>
      </w:tblGrid>
      <w:tr w:rsidR="008E1CF2" w14:paraId="2DE771BF" w14:textId="77777777">
        <w:tblPrEx>
          <w:tblCellMar>
            <w:top w:w="0" w:type="dxa"/>
            <w:bottom w:w="0" w:type="dxa"/>
          </w:tblCellMar>
        </w:tblPrEx>
        <w:tc>
          <w:tcPr>
            <w:tcW w:w="550" w:type="dxa"/>
            <w:tcBorders>
              <w:top w:val="single" w:sz="1" w:space="0" w:color="FFFFFF"/>
              <w:left w:val="single" w:sz="1" w:space="0" w:color="FFFFFF"/>
              <w:bottom w:val="single" w:sz="1" w:space="0" w:color="FFFFFF"/>
              <w:right w:val="single" w:sz="1" w:space="0" w:color="FFFFFF"/>
            </w:tcBorders>
            <w:shd w:val="clear" w:color="auto" w:fill="C65911"/>
            <w:tcMar>
              <w:top w:w="150" w:type="dxa"/>
              <w:left w:w="50" w:type="dxa"/>
              <w:bottom w:w="150" w:type="dxa"/>
              <w:right w:w="50" w:type="dxa"/>
            </w:tcMar>
            <w:vAlign w:val="center"/>
          </w:tcPr>
          <w:p w14:paraId="0466191E" w14:textId="77777777" w:rsidR="008E1CF2" w:rsidRDefault="00000000">
            <w:pPr>
              <w:jc w:val="center"/>
            </w:pPr>
            <w:r>
              <w:rPr>
                <w:b/>
                <w:bCs/>
                <w:color w:val="FFFFFF"/>
                <w:sz w:val="26"/>
                <w:szCs w:val="26"/>
              </w:rPr>
              <w:t>1</w:t>
            </w:r>
          </w:p>
        </w:tc>
        <w:tc>
          <w:tcPr>
            <w:tcW w:w="8476" w:type="dxa"/>
            <w:tcBorders>
              <w:top w:val="single" w:sz="1" w:space="0" w:color="FFFFFF"/>
              <w:left w:val="single" w:sz="1" w:space="0" w:color="FFFFFF"/>
              <w:bottom w:val="single" w:sz="1" w:space="0" w:color="FFFFFF"/>
              <w:right w:val="single" w:sz="1" w:space="0" w:color="FFFFFF"/>
            </w:tcBorders>
            <w:shd w:val="clear" w:color="auto" w:fill="F8F9FA"/>
            <w:tcMar>
              <w:top w:w="150" w:type="dxa"/>
              <w:left w:w="200" w:type="dxa"/>
              <w:bottom w:w="150" w:type="dxa"/>
              <w:right w:w="150" w:type="dxa"/>
            </w:tcMar>
          </w:tcPr>
          <w:p w14:paraId="5BDE54F0" w14:textId="77777777" w:rsidR="008E1CF2" w:rsidRDefault="00000000">
            <w:pPr>
              <w:spacing w:after="80"/>
            </w:pPr>
            <w:r>
              <w:rPr>
                <w:b/>
                <w:bCs/>
                <w:color w:val="1F4E79"/>
              </w:rPr>
              <w:t>Carr-Hill Reform Is Coming—Prepare for Redistribution</w:t>
            </w:r>
          </w:p>
          <w:p w14:paraId="7B6D5F21" w14:textId="77777777" w:rsidR="008E1CF2" w:rsidRDefault="00000000">
            <w:r>
              <w:rPr>
                <w:sz w:val="21"/>
                <w:szCs w:val="21"/>
              </w:rPr>
              <w:t xml:space="preserve">The Impact Statement explicitly acknowledges the £14/patient disadvantage for deprived areas and commits to Carr-Hill review. This is not aspiration—it reflects sustained pressure from the RCGP and Nuffield Trust, and the government has now accepted the case for change. For practices in relatively affluent areas receiving above-target allocations, this could mean slower funding growth or absolute reductions. For practices in deprived areas, this represents potential for significantly increased funding, but transition will take time. </w:t>
            </w:r>
            <w:r>
              <w:rPr>
                <w:b/>
                <w:bCs/>
                <w:sz w:val="21"/>
                <w:szCs w:val="21"/>
              </w:rPr>
              <w:t>Either way, practice finances will be affected. Practices should model their likely position under needs-based allocation and plan accordingly.</w:t>
            </w:r>
          </w:p>
        </w:tc>
      </w:tr>
    </w:tbl>
    <w:p w14:paraId="23037080" w14:textId="77777777" w:rsidR="008E1CF2" w:rsidRDefault="008E1CF2">
      <w:pPr>
        <w:spacing w:after="1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7"/>
        <w:gridCol w:w="9049"/>
      </w:tblGrid>
      <w:tr w:rsidR="008E1CF2" w14:paraId="7342410A" w14:textId="77777777">
        <w:tblPrEx>
          <w:tblCellMar>
            <w:top w:w="0" w:type="dxa"/>
            <w:bottom w:w="0" w:type="dxa"/>
          </w:tblCellMar>
        </w:tblPrEx>
        <w:tc>
          <w:tcPr>
            <w:tcW w:w="550" w:type="dxa"/>
            <w:tcBorders>
              <w:top w:val="single" w:sz="1" w:space="0" w:color="FFFFFF"/>
              <w:left w:val="single" w:sz="1" w:space="0" w:color="FFFFFF"/>
              <w:bottom w:val="single" w:sz="1" w:space="0" w:color="FFFFFF"/>
              <w:right w:val="single" w:sz="1" w:space="0" w:color="FFFFFF"/>
            </w:tcBorders>
            <w:shd w:val="clear" w:color="auto" w:fill="2E7D32"/>
            <w:tcMar>
              <w:top w:w="150" w:type="dxa"/>
              <w:left w:w="50" w:type="dxa"/>
              <w:bottom w:w="150" w:type="dxa"/>
              <w:right w:w="50" w:type="dxa"/>
            </w:tcMar>
            <w:vAlign w:val="center"/>
          </w:tcPr>
          <w:p w14:paraId="55FF963F" w14:textId="77777777" w:rsidR="008E1CF2" w:rsidRDefault="00000000">
            <w:pPr>
              <w:jc w:val="center"/>
            </w:pPr>
            <w:r>
              <w:rPr>
                <w:b/>
                <w:bCs/>
                <w:color w:val="FFFFFF"/>
                <w:sz w:val="26"/>
                <w:szCs w:val="26"/>
              </w:rPr>
              <w:t>2</w:t>
            </w:r>
          </w:p>
        </w:tc>
        <w:tc>
          <w:tcPr>
            <w:tcW w:w="8476" w:type="dxa"/>
            <w:tcBorders>
              <w:top w:val="single" w:sz="1" w:space="0" w:color="FFFFFF"/>
              <w:left w:val="single" w:sz="1" w:space="0" w:color="FFFFFF"/>
              <w:bottom w:val="single" w:sz="1" w:space="0" w:color="FFFFFF"/>
              <w:right w:val="single" w:sz="1" w:space="0" w:color="FFFFFF"/>
            </w:tcBorders>
            <w:shd w:val="clear" w:color="auto" w:fill="F8F9FA"/>
            <w:tcMar>
              <w:top w:w="150" w:type="dxa"/>
              <w:left w:w="200" w:type="dxa"/>
              <w:bottom w:w="150" w:type="dxa"/>
              <w:right w:w="150" w:type="dxa"/>
            </w:tcMar>
          </w:tcPr>
          <w:p w14:paraId="4933CE1F" w14:textId="77777777" w:rsidR="008E1CF2" w:rsidRDefault="00000000">
            <w:pPr>
              <w:spacing w:after="80"/>
            </w:pPr>
            <w:r>
              <w:rPr>
                <w:b/>
                <w:bCs/>
                <w:color w:val="1F4E79"/>
              </w:rPr>
              <w:t>The Neighbourhood Model Will Fundamentally Change How Practices Operate</w:t>
            </w:r>
          </w:p>
          <w:p w14:paraId="63774FEE" w14:textId="77777777" w:rsidR="008E1CF2" w:rsidRDefault="00000000">
            <w:r>
              <w:rPr>
                <w:sz w:val="21"/>
                <w:szCs w:val="21"/>
              </w:rPr>
              <w:t xml:space="preserve">GPs will no longer work primarily within their practice boundaries but as part of MDTs serving defined populations of around 50,000. The document is clear that transition costs will include integrating functions currently delivered separately, setting up services across larger geographies, and additional training. For GPs who value autonomous practice, this represents a significant cultural shift. The evidence on MDT effectiveness is mixed—the Health Foundation found they may even increase emergency hospital use in the short term, with benefits taking 3-6 years to emerge. </w:t>
            </w:r>
            <w:r>
              <w:rPr>
                <w:b/>
                <w:bCs/>
                <w:sz w:val="21"/>
                <w:szCs w:val="21"/>
              </w:rPr>
              <w:t>This is not a quick fix, and practices should expect an extended period of adjustment with uncertain short-term benefits.</w:t>
            </w:r>
          </w:p>
        </w:tc>
      </w:tr>
    </w:tbl>
    <w:p w14:paraId="4FC605D5" w14:textId="77777777" w:rsidR="008E1CF2" w:rsidRDefault="008E1CF2">
      <w:pPr>
        <w:spacing w:after="1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7"/>
        <w:gridCol w:w="9049"/>
      </w:tblGrid>
      <w:tr w:rsidR="008E1CF2" w14:paraId="198F6CDF" w14:textId="77777777">
        <w:tblPrEx>
          <w:tblCellMar>
            <w:top w:w="0" w:type="dxa"/>
            <w:bottom w:w="0" w:type="dxa"/>
          </w:tblCellMar>
        </w:tblPrEx>
        <w:tc>
          <w:tcPr>
            <w:tcW w:w="550" w:type="dxa"/>
            <w:tcBorders>
              <w:top w:val="single" w:sz="1" w:space="0" w:color="FFFFFF"/>
              <w:left w:val="single" w:sz="1" w:space="0" w:color="FFFFFF"/>
              <w:bottom w:val="single" w:sz="1" w:space="0" w:color="FFFFFF"/>
              <w:right w:val="single" w:sz="1" w:space="0" w:color="FFFFFF"/>
            </w:tcBorders>
            <w:shd w:val="clear" w:color="auto" w:fill="1F4E79"/>
            <w:tcMar>
              <w:top w:w="150" w:type="dxa"/>
              <w:left w:w="50" w:type="dxa"/>
              <w:bottom w:w="150" w:type="dxa"/>
              <w:right w:w="50" w:type="dxa"/>
            </w:tcMar>
            <w:vAlign w:val="center"/>
          </w:tcPr>
          <w:p w14:paraId="7ADA971D" w14:textId="77777777" w:rsidR="008E1CF2" w:rsidRDefault="00000000">
            <w:pPr>
              <w:jc w:val="center"/>
            </w:pPr>
            <w:r>
              <w:rPr>
                <w:b/>
                <w:bCs/>
                <w:color w:val="FFFFFF"/>
                <w:sz w:val="26"/>
                <w:szCs w:val="26"/>
              </w:rPr>
              <w:t>3</w:t>
            </w:r>
          </w:p>
        </w:tc>
        <w:tc>
          <w:tcPr>
            <w:tcW w:w="8476" w:type="dxa"/>
            <w:tcBorders>
              <w:top w:val="single" w:sz="1" w:space="0" w:color="FFFFFF"/>
              <w:left w:val="single" w:sz="1" w:space="0" w:color="FFFFFF"/>
              <w:bottom w:val="single" w:sz="1" w:space="0" w:color="FFFFFF"/>
              <w:right w:val="single" w:sz="1" w:space="0" w:color="FFFFFF"/>
            </w:tcBorders>
            <w:shd w:val="clear" w:color="auto" w:fill="F8F9FA"/>
            <w:tcMar>
              <w:top w:w="150" w:type="dxa"/>
              <w:left w:w="200" w:type="dxa"/>
              <w:bottom w:w="150" w:type="dxa"/>
              <w:right w:w="150" w:type="dxa"/>
            </w:tcMar>
          </w:tcPr>
          <w:p w14:paraId="2EE43277" w14:textId="77777777" w:rsidR="008E1CF2" w:rsidRDefault="00000000">
            <w:pPr>
              <w:spacing w:after="80"/>
            </w:pPr>
            <w:r>
              <w:rPr>
                <w:b/>
                <w:bCs/>
                <w:color w:val="1F4E79"/>
              </w:rPr>
              <w:t>Year-of-Care Payments Could Transform—or Destabilise—Primary Care Economics</w:t>
            </w:r>
          </w:p>
          <w:p w14:paraId="0370CDAF" w14:textId="77777777" w:rsidR="008E1CF2" w:rsidRDefault="00000000">
            <w:r>
              <w:rPr>
                <w:sz w:val="21"/>
                <w:szCs w:val="21"/>
              </w:rPr>
              <w:t xml:space="preserve">The trialling of single payments covering all care for defined populations represents the most radical financial change for general practice in decades. If successful, this creates incentives for proactive community management and allows keeping a share of savings from reduced acute activity. However, it also transfers financial risk to primary care—if patients require more care than the payment covers, the shortfall falls on the practice or PCN. The document notes that 18% of the population accounts for 58% of secondary care costs. </w:t>
            </w:r>
            <w:r>
              <w:rPr>
                <w:b/>
                <w:bCs/>
                <w:sz w:val="21"/>
                <w:szCs w:val="21"/>
              </w:rPr>
              <w:t>Understanding which patients fall into this category and managing their care proactively will become essential to financial survival under this model.</w:t>
            </w:r>
          </w:p>
        </w:tc>
      </w:tr>
    </w:tbl>
    <w:p w14:paraId="2E5066A1" w14:textId="77777777" w:rsidR="008E1CF2" w:rsidRDefault="008E1CF2">
      <w:pPr>
        <w:spacing w:after="1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7"/>
        <w:gridCol w:w="9049"/>
      </w:tblGrid>
      <w:tr w:rsidR="008E1CF2" w14:paraId="3C3EC387" w14:textId="77777777">
        <w:tblPrEx>
          <w:tblCellMar>
            <w:top w:w="0" w:type="dxa"/>
            <w:bottom w:w="0" w:type="dxa"/>
          </w:tblCellMar>
        </w:tblPrEx>
        <w:tc>
          <w:tcPr>
            <w:tcW w:w="550" w:type="dxa"/>
            <w:tcBorders>
              <w:top w:val="single" w:sz="1" w:space="0" w:color="FFFFFF"/>
              <w:left w:val="single" w:sz="1" w:space="0" w:color="FFFFFF"/>
              <w:bottom w:val="single" w:sz="1" w:space="0" w:color="FFFFFF"/>
              <w:right w:val="single" w:sz="1" w:space="0" w:color="FFFFFF"/>
            </w:tcBorders>
            <w:shd w:val="clear" w:color="auto" w:fill="2E75B6"/>
            <w:tcMar>
              <w:top w:w="150" w:type="dxa"/>
              <w:left w:w="50" w:type="dxa"/>
              <w:bottom w:w="150" w:type="dxa"/>
              <w:right w:w="50" w:type="dxa"/>
            </w:tcMar>
            <w:vAlign w:val="center"/>
          </w:tcPr>
          <w:p w14:paraId="5D7DEA21" w14:textId="77777777" w:rsidR="008E1CF2" w:rsidRDefault="00000000">
            <w:pPr>
              <w:jc w:val="center"/>
            </w:pPr>
            <w:r>
              <w:rPr>
                <w:b/>
                <w:bCs/>
                <w:color w:val="FFFFFF"/>
                <w:sz w:val="26"/>
                <w:szCs w:val="26"/>
              </w:rPr>
              <w:t>4</w:t>
            </w:r>
          </w:p>
        </w:tc>
        <w:tc>
          <w:tcPr>
            <w:tcW w:w="8476" w:type="dxa"/>
            <w:tcBorders>
              <w:top w:val="single" w:sz="1" w:space="0" w:color="FFFFFF"/>
              <w:left w:val="single" w:sz="1" w:space="0" w:color="FFFFFF"/>
              <w:bottom w:val="single" w:sz="1" w:space="0" w:color="FFFFFF"/>
              <w:right w:val="single" w:sz="1" w:space="0" w:color="FFFFFF"/>
            </w:tcBorders>
            <w:shd w:val="clear" w:color="auto" w:fill="F8F9FA"/>
            <w:tcMar>
              <w:top w:w="150" w:type="dxa"/>
              <w:left w:w="200" w:type="dxa"/>
              <w:bottom w:w="150" w:type="dxa"/>
              <w:right w:w="150" w:type="dxa"/>
            </w:tcMar>
          </w:tcPr>
          <w:p w14:paraId="428BE44E" w14:textId="77777777" w:rsidR="008E1CF2" w:rsidRDefault="00000000">
            <w:pPr>
              <w:spacing w:after="80"/>
            </w:pPr>
            <w:r>
              <w:rPr>
                <w:b/>
                <w:bCs/>
                <w:color w:val="1F4E79"/>
              </w:rPr>
              <w:t>Care Planning Becomes a Core Measurable Deliverable</w:t>
            </w:r>
          </w:p>
          <w:p w14:paraId="0BC268E5" w14:textId="77777777" w:rsidR="008E1CF2" w:rsidRDefault="00000000">
            <w:r>
              <w:rPr>
                <w:sz w:val="21"/>
                <w:szCs w:val="21"/>
              </w:rPr>
              <w:t xml:space="preserve">The commitment to 95% of people with complex needs having care plans by 2027 (up from 20%) represents a massive expansion of structured care delivery. Currently nurses spend 20% of their time on care planning—this will increase substantially. The document expects AI to improve efficiency over time but acknowledges uncertainty about timing and magnitude. Patient-initiated follow-up becoming standard by 2026 further emphasises the shift toward structured, proactive care. </w:t>
            </w:r>
            <w:r>
              <w:rPr>
                <w:b/>
                <w:bCs/>
                <w:sz w:val="21"/>
                <w:szCs w:val="21"/>
              </w:rPr>
              <w:t>Practices need to build care planning capability now, understanding that this will be a core measured deliverable rather than an aspiration.</w:t>
            </w:r>
          </w:p>
        </w:tc>
      </w:tr>
    </w:tbl>
    <w:p w14:paraId="4EDFDD92" w14:textId="77777777" w:rsidR="008E1CF2" w:rsidRDefault="008E1CF2">
      <w:pPr>
        <w:spacing w:after="1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7"/>
        <w:gridCol w:w="9049"/>
      </w:tblGrid>
      <w:tr w:rsidR="008E1CF2" w14:paraId="4850E078" w14:textId="77777777">
        <w:tblPrEx>
          <w:tblCellMar>
            <w:top w:w="0" w:type="dxa"/>
            <w:bottom w:w="0" w:type="dxa"/>
          </w:tblCellMar>
        </w:tblPrEx>
        <w:tc>
          <w:tcPr>
            <w:tcW w:w="550" w:type="dxa"/>
            <w:tcBorders>
              <w:top w:val="single" w:sz="1" w:space="0" w:color="FFFFFF"/>
              <w:left w:val="single" w:sz="1" w:space="0" w:color="FFFFFF"/>
              <w:bottom w:val="single" w:sz="1" w:space="0" w:color="FFFFFF"/>
              <w:right w:val="single" w:sz="1" w:space="0" w:color="FFFFFF"/>
            </w:tcBorders>
            <w:shd w:val="clear" w:color="auto" w:fill="5B9BD5"/>
            <w:tcMar>
              <w:top w:w="150" w:type="dxa"/>
              <w:left w:w="50" w:type="dxa"/>
              <w:bottom w:w="150" w:type="dxa"/>
              <w:right w:w="50" w:type="dxa"/>
            </w:tcMar>
            <w:vAlign w:val="center"/>
          </w:tcPr>
          <w:p w14:paraId="7D440779" w14:textId="77777777" w:rsidR="008E1CF2" w:rsidRDefault="00000000">
            <w:pPr>
              <w:jc w:val="center"/>
            </w:pPr>
            <w:r>
              <w:rPr>
                <w:b/>
                <w:bCs/>
                <w:color w:val="FFFFFF"/>
                <w:sz w:val="26"/>
                <w:szCs w:val="26"/>
              </w:rPr>
              <w:t>5</w:t>
            </w:r>
          </w:p>
        </w:tc>
        <w:tc>
          <w:tcPr>
            <w:tcW w:w="8476" w:type="dxa"/>
            <w:tcBorders>
              <w:top w:val="single" w:sz="1" w:space="0" w:color="FFFFFF"/>
              <w:left w:val="single" w:sz="1" w:space="0" w:color="FFFFFF"/>
              <w:bottom w:val="single" w:sz="1" w:space="0" w:color="FFFFFF"/>
              <w:right w:val="single" w:sz="1" w:space="0" w:color="FFFFFF"/>
            </w:tcBorders>
            <w:shd w:val="clear" w:color="auto" w:fill="F8F9FA"/>
            <w:tcMar>
              <w:top w:w="150" w:type="dxa"/>
              <w:left w:w="200" w:type="dxa"/>
              <w:bottom w:w="150" w:type="dxa"/>
              <w:right w:w="150" w:type="dxa"/>
            </w:tcMar>
          </w:tcPr>
          <w:p w14:paraId="35DF9A34" w14:textId="77777777" w:rsidR="008E1CF2" w:rsidRDefault="00000000">
            <w:pPr>
              <w:spacing w:after="80"/>
            </w:pPr>
            <w:r>
              <w:rPr>
                <w:b/>
                <w:bCs/>
                <w:color w:val="1F4E79"/>
              </w:rPr>
              <w:t>Digital Transformation Will Determine Practice Viability</w:t>
            </w:r>
          </w:p>
          <w:p w14:paraId="5E2B906F" w14:textId="77777777" w:rsidR="008E1CF2" w:rsidRDefault="00000000">
            <w:r>
              <w:rPr>
                <w:sz w:val="21"/>
                <w:szCs w:val="21"/>
              </w:rPr>
              <w:t xml:space="preserve">The Single Patient Record, NHS App integration, AI-assisted documentation, and digital triage will become non-negotiable components of general practice. Online GP service use has risen from 6.8% in 2015 to 41% in 2024 for booking. The </w:t>
            </w:r>
            <w:proofErr w:type="gramStart"/>
            <w:r>
              <w:rPr>
                <w:sz w:val="21"/>
                <w:szCs w:val="21"/>
              </w:rPr>
              <w:t>1-2 minute</w:t>
            </w:r>
            <w:proofErr w:type="gramEnd"/>
            <w:r>
              <w:rPr>
                <w:sz w:val="21"/>
                <w:szCs w:val="21"/>
              </w:rPr>
              <w:t xml:space="preserve"> saving per contact </w:t>
            </w:r>
            <w:r>
              <w:rPr>
                <w:sz w:val="21"/>
                <w:szCs w:val="21"/>
              </w:rPr>
              <w:lastRenderedPageBreak/>
              <w:t xml:space="preserve">from ambient scribes, scaled across thousands of contacts annually, represents significant capacity release—but only for practices that adopt these tools. The document acknowledges risks of digital exclusion and variation in practice capability, but the direction is clear. </w:t>
            </w:r>
            <w:r>
              <w:rPr>
                <w:b/>
                <w:bCs/>
                <w:sz w:val="21"/>
                <w:szCs w:val="21"/>
              </w:rPr>
              <w:t>General practice's future is digital-first. Practices that do not adapt will find the system redesigned around them.</w:t>
            </w:r>
          </w:p>
        </w:tc>
      </w:tr>
    </w:tbl>
    <w:p w14:paraId="61C035E1" w14:textId="77777777" w:rsidR="008E1CF2" w:rsidRDefault="00000000">
      <w: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92"/>
      </w:tblGrid>
      <w:tr w:rsidR="008E1CF2" w14:paraId="1BA8EF5F" w14:textId="77777777">
        <w:tblPrEx>
          <w:tblCellMar>
            <w:top w:w="0" w:type="dxa"/>
            <w:bottom w:w="0" w:type="dxa"/>
          </w:tblCellMar>
        </w:tblPrEx>
        <w:tc>
          <w:tcPr>
            <w:tcW w:w="0" w:type="auto"/>
            <w:tcBorders>
              <w:top w:val="single" w:sz="1" w:space="0" w:color="FFFFFF"/>
              <w:left w:val="single" w:sz="36" w:space="0" w:color="8B0000"/>
              <w:bottom w:val="single" w:sz="1" w:space="0" w:color="FFFFFF"/>
              <w:right w:val="single" w:sz="1" w:space="0" w:color="FFFFFF"/>
            </w:tcBorders>
            <w:shd w:val="clear" w:color="auto" w:fill="FFFFFF"/>
            <w:tcMar>
              <w:top w:w="150" w:type="dxa"/>
              <w:left w:w="200" w:type="dxa"/>
              <w:bottom w:w="150" w:type="dxa"/>
              <w:right w:w="100" w:type="dxa"/>
            </w:tcMar>
          </w:tcPr>
          <w:p w14:paraId="25DFF439" w14:textId="77777777" w:rsidR="008E1CF2" w:rsidRDefault="00000000">
            <w:r>
              <w:rPr>
                <w:b/>
                <w:bCs/>
                <w:color w:val="8B0000"/>
                <w:sz w:val="28"/>
                <w:szCs w:val="28"/>
              </w:rPr>
              <w:lastRenderedPageBreak/>
              <w:t>PART 3: A CRITICAL READING OF THE DOCUMENT</w:t>
            </w:r>
          </w:p>
        </w:tc>
      </w:tr>
    </w:tbl>
    <w:p w14:paraId="3AF3DFFC" w14:textId="77777777" w:rsidR="008E1CF2" w:rsidRDefault="008E1CF2">
      <w:pPr>
        <w:spacing w:after="250"/>
      </w:pPr>
    </w:p>
    <w:p w14:paraId="38E4A389" w14:textId="77777777" w:rsidR="008E1CF2" w:rsidRDefault="00000000">
      <w:pPr>
        <w:pStyle w:val="Heading2"/>
      </w:pPr>
      <w:r>
        <w:t>What Kind of Document Is This?</w:t>
      </w:r>
    </w:p>
    <w:p w14:paraId="36628235" w14:textId="77777777" w:rsidR="008E1CF2" w:rsidRDefault="00000000">
      <w:pPr>
        <w:spacing w:after="200"/>
      </w:pPr>
      <w:r>
        <w:t xml:space="preserve">Impact assessments serve a specific purpose in </w:t>
      </w:r>
      <w:proofErr w:type="gramStart"/>
      <w:r>
        <w:t>policy-making</w:t>
      </w:r>
      <w:proofErr w:type="gramEnd"/>
      <w:r>
        <w:t>: they translate intent into consequences, quantify benefits, and demonstrate that risks are understood and manageable. They are normally published after policy design is settled, providing the analytical foundation for implementation. This document does something quite different.</w:t>
      </w:r>
    </w:p>
    <w:p w14:paraId="7C29F102" w14:textId="77777777" w:rsidR="008E1CF2" w:rsidRDefault="00000000">
      <w:pPr>
        <w:spacing w:after="200"/>
      </w:pPr>
      <w:r>
        <w:t xml:space="preserve">Throughout Parts 1 and 2 of this </w:t>
      </w:r>
      <w:proofErr w:type="gramStart"/>
      <w:r>
        <w:t>summary</w:t>
      </w:r>
      <w:proofErr w:type="gramEnd"/>
      <w:r>
        <w:t>, we have highlighted the caveats and qualifications that accompany almost every substantive claim in the Impact Statement. These are not incidental. Read carefully, this document is assessing a plan that, by its own repeated admission, lacks the characteristics normally required for impact assessment: defined delivery models, costed options, sequenced implementation, and binding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07"/>
      </w:tblGrid>
      <w:tr w:rsidR="008E1CF2" w14:paraId="41DD5C0E" w14:textId="77777777">
        <w:tblPrEx>
          <w:tblCellMar>
            <w:top w:w="0" w:type="dxa"/>
            <w:bottom w:w="0" w:type="dxa"/>
          </w:tblCellMar>
        </w:tblPrEx>
        <w:tc>
          <w:tcPr>
            <w:tcW w:w="0" w:type="auto"/>
            <w:tcBorders>
              <w:top w:val="single" w:sz="1" w:space="0" w:color="FFFFFF"/>
              <w:left w:val="single" w:sz="24" w:space="0" w:color="2E75B6"/>
              <w:bottom w:val="single" w:sz="1" w:space="0" w:color="FFFFFF"/>
              <w:right w:val="single" w:sz="1" w:space="0" w:color="FFFFFF"/>
            </w:tcBorders>
            <w:shd w:val="clear" w:color="auto" w:fill="F5F9FC"/>
            <w:tcMar>
              <w:top w:w="200" w:type="dxa"/>
              <w:left w:w="300" w:type="dxa"/>
              <w:bottom w:w="200" w:type="dxa"/>
              <w:right w:w="200" w:type="dxa"/>
            </w:tcMar>
          </w:tcPr>
          <w:p w14:paraId="700FDE0C" w14:textId="77777777" w:rsidR="008E1CF2" w:rsidRDefault="00000000">
            <w:pPr>
              <w:spacing w:after="100"/>
            </w:pPr>
            <w:r>
              <w:rPr>
                <w:rFonts w:ascii="Georgia" w:eastAsia="Georgia" w:hAnsi="Georgia" w:cs="Georgia"/>
                <w:i/>
                <w:iCs/>
                <w:color w:val="404040"/>
                <w:sz w:val="24"/>
                <w:szCs w:val="24"/>
              </w:rPr>
              <w:t>"Further assessment of economic impacts will be undertaken as policy development progresses"</w:t>
            </w:r>
          </w:p>
          <w:p w14:paraId="2BC66A2C" w14:textId="77777777" w:rsidR="008E1CF2" w:rsidRDefault="00000000">
            <w:pPr>
              <w:spacing w:after="100"/>
            </w:pPr>
            <w:r>
              <w:rPr>
                <w:i/>
                <w:iCs/>
                <w:color w:val="666666"/>
                <w:sz w:val="18"/>
                <w:szCs w:val="18"/>
              </w:rPr>
              <w:t>— Impact Statement, p.76</w:t>
            </w:r>
          </w:p>
          <w:p w14:paraId="75E3DE8A" w14:textId="77777777" w:rsidR="008E1CF2" w:rsidRDefault="00000000">
            <w:r>
              <w:rPr>
                <w:b/>
                <w:bCs/>
                <w:color w:val="1F4E79"/>
                <w:sz w:val="20"/>
                <w:szCs w:val="20"/>
              </w:rPr>
              <w:t xml:space="preserve">This sentence appears in various forms throughout the document. It </w:t>
            </w:r>
            <w:proofErr w:type="gramStart"/>
            <w:r>
              <w:rPr>
                <w:b/>
                <w:bCs/>
                <w:color w:val="1F4E79"/>
                <w:sz w:val="20"/>
                <w:szCs w:val="20"/>
              </w:rPr>
              <w:t>means:</w:t>
            </w:r>
            <w:proofErr w:type="gramEnd"/>
            <w:r>
              <w:rPr>
                <w:b/>
                <w:bCs/>
                <w:color w:val="1F4E79"/>
                <w:sz w:val="20"/>
                <w:szCs w:val="20"/>
              </w:rPr>
              <w:t xml:space="preserve"> we cannot assess the impact because the policy does not yet exist in sufficient detail.</w:t>
            </w:r>
          </w:p>
        </w:tc>
      </w:tr>
    </w:tbl>
    <w:p w14:paraId="64214BBE" w14:textId="77777777" w:rsidR="008E1CF2" w:rsidRDefault="008E1CF2">
      <w:pPr>
        <w:spacing w:after="250"/>
      </w:pPr>
    </w:p>
    <w:p w14:paraId="6C639CE0" w14:textId="77777777" w:rsidR="008E1CF2" w:rsidRDefault="00000000">
      <w:pPr>
        <w:pStyle w:val="Heading2"/>
      </w:pPr>
      <w:r>
        <w:t>The Language of Uncertainty</w:t>
      </w:r>
    </w:p>
    <w:p w14:paraId="448629F2" w14:textId="77777777" w:rsidR="008E1CF2" w:rsidRDefault="00000000">
      <w:pPr>
        <w:spacing w:after="200"/>
      </w:pPr>
      <w:r>
        <w:t>Certain phrases recur throughout the 81 pages with notable frequency: 'subject to further development,' 'cannot yet be robustly estimated,' 'depends on future funding decisions,' 'benefits are indicative, not assured,' 'evidence base is only partial.' These are not throwaway caveats. They are the document's actual message.</w:t>
      </w:r>
    </w:p>
    <w:p w14:paraId="6A040A65" w14:textId="77777777" w:rsidR="008E1CF2" w:rsidRDefault="00000000">
      <w:pPr>
        <w:spacing w:after="200"/>
      </w:pPr>
      <w:r>
        <w:t xml:space="preserve">Consider what the document </w:t>
      </w:r>
      <w:proofErr w:type="gramStart"/>
      <w:r>
        <w:t>actually commits</w:t>
      </w:r>
      <w:proofErr w:type="gramEnd"/>
      <w:r>
        <w:t xml:space="preserve"> to versus what it aspires to. The three shifts are described in compelling terms, but the mechanisms for achieving them remain largely unspecified. The new financial framework 'will be published in due course.' Year-of-care payments will be 'trialled.' The Carr-Hill review will happen at some unspecified point. The Single Patient Record will be developed, but 68% of doctors doubt it will be achieved within 10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07"/>
      </w:tblGrid>
      <w:tr w:rsidR="008E1CF2" w14:paraId="3F6C04E7" w14:textId="77777777">
        <w:tblPrEx>
          <w:tblCellMar>
            <w:top w:w="0" w:type="dxa"/>
            <w:bottom w:w="0" w:type="dxa"/>
          </w:tblCellMar>
        </w:tblPrEx>
        <w:tc>
          <w:tcPr>
            <w:tcW w:w="0" w:type="auto"/>
            <w:tcBorders>
              <w:top w:val="single" w:sz="1" w:space="0" w:color="FFFFFF"/>
              <w:left w:val="single" w:sz="24" w:space="0" w:color="2E75B6"/>
              <w:bottom w:val="single" w:sz="1" w:space="0" w:color="FFFFFF"/>
              <w:right w:val="single" w:sz="1" w:space="0" w:color="FFFFFF"/>
            </w:tcBorders>
            <w:shd w:val="clear" w:color="auto" w:fill="F5F9FC"/>
            <w:tcMar>
              <w:top w:w="200" w:type="dxa"/>
              <w:left w:w="300" w:type="dxa"/>
              <w:bottom w:w="200" w:type="dxa"/>
              <w:right w:w="200" w:type="dxa"/>
            </w:tcMar>
          </w:tcPr>
          <w:p w14:paraId="380FAA98" w14:textId="77777777" w:rsidR="008E1CF2" w:rsidRDefault="00000000">
            <w:pPr>
              <w:spacing w:after="100"/>
            </w:pPr>
            <w:r>
              <w:rPr>
                <w:rFonts w:ascii="Georgia" w:eastAsia="Georgia" w:hAnsi="Georgia" w:cs="Georgia"/>
                <w:i/>
                <w:iCs/>
                <w:color w:val="404040"/>
                <w:sz w:val="24"/>
                <w:szCs w:val="24"/>
              </w:rPr>
              <w:t>"Reform of this type, and on this scale, has not been delivered previously"</w:t>
            </w:r>
          </w:p>
          <w:p w14:paraId="4C106442" w14:textId="77777777" w:rsidR="008E1CF2" w:rsidRDefault="00000000">
            <w:pPr>
              <w:spacing w:after="100"/>
            </w:pPr>
            <w:r>
              <w:rPr>
                <w:i/>
                <w:iCs/>
                <w:color w:val="666666"/>
                <w:sz w:val="18"/>
                <w:szCs w:val="18"/>
              </w:rPr>
              <w:t>— Impact Statement, p.5</w:t>
            </w:r>
          </w:p>
          <w:p w14:paraId="2BE3060E" w14:textId="77777777" w:rsidR="008E1CF2" w:rsidRDefault="00000000">
            <w:r>
              <w:rPr>
                <w:b/>
                <w:bCs/>
                <w:color w:val="1F4E79"/>
                <w:sz w:val="20"/>
                <w:szCs w:val="20"/>
              </w:rPr>
              <w:t>A remarkably frank admission. The authors are saying: we have no precedent for what is being attempted.</w:t>
            </w:r>
          </w:p>
        </w:tc>
      </w:tr>
    </w:tbl>
    <w:p w14:paraId="2E04E624" w14:textId="77777777" w:rsidR="008E1CF2" w:rsidRDefault="008E1CF2">
      <w:pPr>
        <w:spacing w:after="250"/>
      </w:pPr>
    </w:p>
    <w:p w14:paraId="0CFDACDA" w14:textId="77777777" w:rsidR="008E1CF2" w:rsidRDefault="00000000">
      <w:pPr>
        <w:pStyle w:val="Heading2"/>
      </w:pPr>
      <w:r>
        <w:t>The Productivity Assumption</w:t>
      </w:r>
    </w:p>
    <w:p w14:paraId="7ADCDC64" w14:textId="77777777" w:rsidR="008E1CF2" w:rsidRDefault="00000000">
      <w:pPr>
        <w:spacing w:after="200"/>
      </w:pPr>
      <w:r>
        <w:t>The plan's financial sustainability rests substantially on achieving 2% annual productivity growth—more than triple the historic average of 0.6%. NHS productivity remains approximately 8% below pre-pandemic levels despite workforce growth. The document describes this target as 'stretching' and 'credible' but does not explain how it will be achieved.</w:t>
      </w:r>
    </w:p>
    <w:p w14:paraId="05FFE730" w14:textId="77777777" w:rsidR="008E1CF2" w:rsidRDefault="00000000">
      <w:pPr>
        <w:spacing w:after="200"/>
      </w:pPr>
      <w:r>
        <w:t xml:space="preserve">This is not a minor technical detail. </w:t>
      </w:r>
      <w:r>
        <w:rPr>
          <w:b/>
          <w:bCs/>
        </w:rPr>
        <w:t>If the productivity assumptions are wrong, the financial model underpinning the entire plan collapses.</w:t>
      </w:r>
      <w:r>
        <w:t xml:space="preserve"> Either additional funding will be required (which is not committed beyond 2028-29), or services will have to be cut. The document is silent on this contingency.</w:t>
      </w:r>
    </w:p>
    <w:p w14:paraId="4554BD7B" w14:textId="77777777" w:rsidR="008E1CF2" w:rsidRDefault="00000000">
      <w:pPr>
        <w:pStyle w:val="Heading2"/>
      </w:pPr>
      <w:r>
        <w:lastRenderedPageBreak/>
        <w:t>The Funding Gap</w:t>
      </w:r>
    </w:p>
    <w:p w14:paraId="5EF5F57E" w14:textId="77777777" w:rsidR="008E1CF2" w:rsidRDefault="00000000">
      <w:pPr>
        <w:spacing w:after="200"/>
      </w:pPr>
      <w:r>
        <w:t>The document is clear about what is funded and what is not. Revenue funding is settled until 2028-29; capital until 2029-30. Everything beyond those dates is 'subject to future spending reviews.' For a 10-year plan, this means more than half the implementation period has no confirmed funding. The historic capital shortfall is estimated at £37-38 billion. Backlog maintenance stands at £11.6 billion as of 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07"/>
      </w:tblGrid>
      <w:tr w:rsidR="008E1CF2" w14:paraId="7E57FDA6" w14:textId="77777777">
        <w:tblPrEx>
          <w:tblCellMar>
            <w:top w:w="0" w:type="dxa"/>
            <w:bottom w:w="0" w:type="dxa"/>
          </w:tblCellMar>
        </w:tblPrEx>
        <w:tc>
          <w:tcPr>
            <w:tcW w:w="0" w:type="auto"/>
            <w:tcBorders>
              <w:top w:val="single" w:sz="1" w:space="0" w:color="FFFFFF"/>
              <w:left w:val="single" w:sz="24" w:space="0" w:color="2E75B6"/>
              <w:bottom w:val="single" w:sz="1" w:space="0" w:color="FFFFFF"/>
              <w:right w:val="single" w:sz="1" w:space="0" w:color="FFFFFF"/>
            </w:tcBorders>
            <w:shd w:val="clear" w:color="auto" w:fill="F5F9FC"/>
            <w:tcMar>
              <w:top w:w="200" w:type="dxa"/>
              <w:left w:w="300" w:type="dxa"/>
              <w:bottom w:w="200" w:type="dxa"/>
              <w:right w:w="200" w:type="dxa"/>
            </w:tcMar>
          </w:tcPr>
          <w:p w14:paraId="1CD7CC80" w14:textId="77777777" w:rsidR="008E1CF2" w:rsidRDefault="00000000">
            <w:pPr>
              <w:spacing w:after="100"/>
            </w:pPr>
            <w:r>
              <w:rPr>
                <w:rFonts w:ascii="Georgia" w:eastAsia="Georgia" w:hAnsi="Georgia" w:cs="Georgia"/>
                <w:i/>
                <w:iCs/>
                <w:color w:val="404040"/>
                <w:sz w:val="24"/>
                <w:szCs w:val="24"/>
              </w:rPr>
              <w:t>"9 in 10 ICS leaders [are] concerned that plans are constrained by lack of long-term investment"</w:t>
            </w:r>
          </w:p>
          <w:p w14:paraId="1DCD094B" w14:textId="77777777" w:rsidR="008E1CF2" w:rsidRDefault="00000000">
            <w:pPr>
              <w:spacing w:after="100"/>
            </w:pPr>
            <w:r>
              <w:rPr>
                <w:i/>
                <w:iCs/>
                <w:color w:val="666666"/>
                <w:sz w:val="18"/>
                <w:szCs w:val="18"/>
              </w:rPr>
              <w:t>— NHS Confederation Survey 2024, cited in Impact Statement</w:t>
            </w:r>
          </w:p>
          <w:p w14:paraId="5DEA3DF6" w14:textId="77777777" w:rsidR="008E1CF2" w:rsidRDefault="00000000">
            <w:r>
              <w:rPr>
                <w:b/>
                <w:bCs/>
                <w:color w:val="1F4E79"/>
                <w:sz w:val="20"/>
                <w:szCs w:val="20"/>
              </w:rPr>
              <w:t>The people responsible for delivery are already signalling that resources are insufficient.</w:t>
            </w:r>
          </w:p>
        </w:tc>
      </w:tr>
    </w:tbl>
    <w:p w14:paraId="10AAD01B" w14:textId="77777777" w:rsidR="008E1CF2" w:rsidRDefault="008E1CF2">
      <w:pPr>
        <w:spacing w:after="250"/>
      </w:pPr>
    </w:p>
    <w:p w14:paraId="03FE4699" w14:textId="77777777" w:rsidR="008E1CF2" w:rsidRDefault="00000000">
      <w:pPr>
        <w:pStyle w:val="Heading2"/>
      </w:pPr>
      <w:r>
        <w:t>Reading Between the Lines</w:t>
      </w:r>
    </w:p>
    <w:p w14:paraId="4CE70431" w14:textId="77777777" w:rsidR="008E1CF2" w:rsidRDefault="00000000">
      <w:pPr>
        <w:spacing w:after="200"/>
      </w:pPr>
      <w:r>
        <w:t>Impact statements are signed off by officials who must protect themselves from later challenge. The unnamed authors of this document have done something unusual: they have systematically documented every reason why the plan might fail while formally supporting it. This is not sabotage—it is professional self-preservation. By spelling out the uncertainties so clearly, they are effectively saying: do not confuse aspiration with worked policy.</w:t>
      </w:r>
    </w:p>
    <w:p w14:paraId="5598B6DF" w14:textId="77777777" w:rsidR="008E1CF2" w:rsidRDefault="00000000">
      <w:pPr>
        <w:spacing w:after="200"/>
      </w:pPr>
      <w:r>
        <w:t xml:space="preserve">The document's tone is notably different from the political rhetoric surrounding the 10 Year Health Plan. There is no talk of 'fixing the broken NHS' or '14 years of neglect.' Instead, there is careful, hedged analysis that repeatedly emphasises what is not yet known, not yet funded, and not yet designed. </w:t>
      </w:r>
      <w:r>
        <w:rPr>
          <w:i/>
          <w:iCs/>
        </w:rPr>
        <w:t>This is the civil service doing its job: providing honest assessment even when the politics demand optimism.</w:t>
      </w:r>
    </w:p>
    <w:p w14:paraId="5EAC7881" w14:textId="77777777" w:rsidR="008E1CF2" w:rsidRDefault="00000000">
      <w:pPr>
        <w:pStyle w:val="Heading2"/>
      </w:pPr>
      <w:r>
        <w:t>What This Means</w:t>
      </w:r>
    </w:p>
    <w:p w14:paraId="1997D17F" w14:textId="77777777" w:rsidR="008E1CF2" w:rsidRDefault="00000000">
      <w:pPr>
        <w:spacing w:after="200"/>
      </w:pPr>
      <w:r>
        <w:t>None of this means the 10 Year Health Plan will fail, or that its ambitions are misguided. The three shifts—hospital to community, analogue to digital, sickness to prevention—are directionally correct. The acknowledgment of GP funding inequalities is welcome and overdue. The focus on prevention economics is compelling. But there is a substantial gap between announcing a direction and delivering transformation.</w:t>
      </w:r>
    </w:p>
    <w:p w14:paraId="704CA670" w14:textId="77777777" w:rsidR="008E1CF2" w:rsidRDefault="00000000">
      <w:pPr>
        <w:spacing w:after="200"/>
      </w:pPr>
      <w:r>
        <w:t>The Impact Statement, read carefully, is an invitation to take the plan seriously without taking its claims at face value. It provides the evidence base for engagement and challenge. It documents what needs to happen for success while being clear-eyed about the obstacles.</w:t>
      </w:r>
    </w:p>
    <w:p w14:paraId="479A0475" w14:textId="77777777" w:rsidR="008E1CF2" w:rsidRDefault="00000000">
      <w:pPr>
        <w:pStyle w:val="Heading2"/>
      </w:pPr>
      <w:r>
        <w:t>The Opportunity</w:t>
      </w:r>
    </w:p>
    <w:p w14:paraId="7AA9DA63" w14:textId="77777777" w:rsidR="008E1CF2" w:rsidRDefault="00000000">
      <w:pPr>
        <w:spacing w:after="200"/>
      </w:pPr>
      <w:r>
        <w:t>If the plan were fully formed—with Treasury sign-off, detailed implementation schedules, and binding commitments—there would be little scope for influence. The fact that so much remains 'subject to further development' means the policy is still being shaped. Working groups are still deliberating. The financial framework has not been published. The Carr-Hill review has not concluded.</w:t>
      </w:r>
    </w:p>
    <w:p w14:paraId="612BF8A8" w14:textId="77777777" w:rsidR="008E1CF2" w:rsidRDefault="00000000">
      <w:pPr>
        <w:spacing w:after="200"/>
      </w:pPr>
      <w:r>
        <w:rPr>
          <w:b/>
          <w:bCs/>
        </w:rPr>
        <w:t>For organised voices—whether patient groups, professional bodies, or local communities—this is the moment when engagement matters most.</w:t>
      </w:r>
      <w:r>
        <w:t xml:space="preserve"> Once implementation begins and resources are committed, flexibility disappears. The Impact Statement, for all its hedging, has put valuable information into the public domain: the £14/patient funding gap, the </w:t>
      </w:r>
      <w:proofErr w:type="gramStart"/>
      <w:r>
        <w:t>3-6 year</w:t>
      </w:r>
      <w:proofErr w:type="gramEnd"/>
      <w:r>
        <w:t xml:space="preserve"> timeline for integration benefits, the productivity assumptions underlying financial sustainability, the capacity risks from simultaneous restructuring. This is the raw material for informed advocacy.</w:t>
      </w:r>
    </w:p>
    <w:p w14:paraId="6EEF2610" w14:textId="77777777" w:rsidR="008E1CF2" w:rsidRDefault="008E1CF2">
      <w:pPr>
        <w:spacing w:after="3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8E1CF2" w14:paraId="3727229E" w14:textId="77777777">
        <w:tblPrEx>
          <w:tblCellMar>
            <w:top w:w="0" w:type="dxa"/>
            <w:bottom w:w="0" w:type="dxa"/>
          </w:tblCellMar>
        </w:tblPrEx>
        <w:tc>
          <w:tcPr>
            <w:tcW w:w="0" w:type="auto"/>
            <w:tcBorders>
              <w:top w:val="single" w:sz="1" w:space="0" w:color="FFFFFF"/>
              <w:left w:val="single" w:sz="1" w:space="0" w:color="FFFFFF"/>
              <w:bottom w:val="single" w:sz="1" w:space="0" w:color="FFFFFF"/>
              <w:right w:val="single" w:sz="1" w:space="0" w:color="FFFFFF"/>
            </w:tcBorders>
            <w:shd w:val="clear" w:color="auto" w:fill="1F4E79"/>
            <w:tcMar>
              <w:top w:w="0" w:type="dxa"/>
              <w:left w:w="0" w:type="dxa"/>
              <w:bottom w:w="0" w:type="dxa"/>
              <w:right w:w="0" w:type="dxa"/>
            </w:tcMar>
          </w:tcPr>
          <w:p w14:paraId="67941644" w14:textId="77777777" w:rsidR="008E1CF2" w:rsidRDefault="00000000">
            <w:r>
              <w:rPr>
                <w:sz w:val="6"/>
                <w:szCs w:val="6"/>
              </w:rPr>
              <w:lastRenderedPageBreak/>
              <w:t xml:space="preserve"> </w:t>
            </w:r>
          </w:p>
        </w:tc>
      </w:tr>
    </w:tbl>
    <w:p w14:paraId="7367E129" w14:textId="77777777" w:rsidR="008E1CF2" w:rsidRDefault="008E1CF2">
      <w:pPr>
        <w:spacing w:after="200"/>
      </w:pPr>
    </w:p>
    <w:p w14:paraId="7335D2F5" w14:textId="77777777" w:rsidR="008E1CF2" w:rsidRDefault="00000000">
      <w:pPr>
        <w:pStyle w:val="Heading2"/>
      </w:pPr>
      <w:r>
        <w:t>Final Assessment</w:t>
      </w:r>
    </w:p>
    <w:p w14:paraId="72EB04F3" w14:textId="77777777" w:rsidR="008E1CF2" w:rsidRDefault="00000000">
      <w:pPr>
        <w:spacing w:after="200"/>
      </w:pPr>
      <w:r>
        <w:t>The 10 Year Health Plan is not yet a plan in the operational sense. It is a statement of direction with indicative costings, mixed evidence, and substantial dependencies on future decisions. The Impact Statement's authors know this, and they have written a document that makes it clear to anyone willing to read carefully.</w:t>
      </w:r>
    </w:p>
    <w:p w14:paraId="3D29D989" w14:textId="77777777" w:rsidR="008E1CF2" w:rsidRDefault="00000000">
      <w:pPr>
        <w:spacing w:after="200"/>
      </w:pPr>
      <w:r>
        <w:t xml:space="preserve">That is, in its way, a public service. </w:t>
      </w:r>
      <w:r>
        <w:rPr>
          <w:b/>
          <w:bCs/>
        </w:rPr>
        <w:t>The question is whether those who care about the NHS's future will use it.</w:t>
      </w:r>
    </w:p>
    <w:p w14:paraId="098B2EF8" w14:textId="77777777" w:rsidR="008E1CF2" w:rsidRDefault="008E1CF2">
      <w:pPr>
        <w:spacing w:before="4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8E1CF2" w14:paraId="75C96882" w14:textId="77777777">
        <w:tblPrEx>
          <w:tblCellMar>
            <w:top w:w="0" w:type="dxa"/>
            <w:bottom w:w="0" w:type="dxa"/>
          </w:tblCellMar>
        </w:tblPrEx>
        <w:tc>
          <w:tcPr>
            <w:tcW w:w="0" w:type="auto"/>
            <w:tcBorders>
              <w:top w:val="single" w:sz="1" w:space="0" w:color="FFFFFF"/>
              <w:left w:val="single" w:sz="1" w:space="0" w:color="FFFFFF"/>
              <w:bottom w:val="single" w:sz="1" w:space="0" w:color="FFFFFF"/>
              <w:right w:val="single" w:sz="1" w:space="0" w:color="FFFFFF"/>
            </w:tcBorders>
            <w:shd w:val="clear" w:color="auto" w:fill="666666"/>
            <w:tcMar>
              <w:top w:w="0" w:type="dxa"/>
              <w:left w:w="0" w:type="dxa"/>
              <w:bottom w:w="0" w:type="dxa"/>
              <w:right w:w="0" w:type="dxa"/>
            </w:tcMar>
          </w:tcPr>
          <w:p w14:paraId="3B959D89" w14:textId="77777777" w:rsidR="008E1CF2" w:rsidRDefault="00000000">
            <w:r>
              <w:rPr>
                <w:sz w:val="6"/>
                <w:szCs w:val="6"/>
              </w:rPr>
              <w:t xml:space="preserve"> </w:t>
            </w:r>
          </w:p>
        </w:tc>
      </w:tr>
    </w:tbl>
    <w:p w14:paraId="4ABB37F7" w14:textId="77777777" w:rsidR="008E1CF2" w:rsidRDefault="00000000">
      <w:pPr>
        <w:spacing w:before="200"/>
        <w:jc w:val="center"/>
      </w:pPr>
      <w:r>
        <w:rPr>
          <w:color w:val="666666"/>
          <w:sz w:val="18"/>
          <w:szCs w:val="18"/>
        </w:rPr>
        <w:t>Summary prepared January 2026</w:t>
      </w:r>
    </w:p>
    <w:sectPr w:rsidR="008E1CF2">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DCA"/>
    <w:multiLevelType w:val="hybridMultilevel"/>
    <w:tmpl w:val="6B60BB30"/>
    <w:lvl w:ilvl="0" w:tplc="C1268962">
      <w:start w:val="1"/>
      <w:numFmt w:val="bullet"/>
      <w:lvlText w:val="●"/>
      <w:lvlJc w:val="left"/>
      <w:pPr>
        <w:ind w:left="720" w:hanging="360"/>
      </w:pPr>
    </w:lvl>
    <w:lvl w:ilvl="1" w:tplc="D6DC325E">
      <w:start w:val="1"/>
      <w:numFmt w:val="bullet"/>
      <w:lvlText w:val="○"/>
      <w:lvlJc w:val="left"/>
      <w:pPr>
        <w:ind w:left="1440" w:hanging="360"/>
      </w:pPr>
    </w:lvl>
    <w:lvl w:ilvl="2" w:tplc="8F8EB830">
      <w:start w:val="1"/>
      <w:numFmt w:val="bullet"/>
      <w:lvlText w:val="■"/>
      <w:lvlJc w:val="left"/>
      <w:pPr>
        <w:ind w:left="2160" w:hanging="360"/>
      </w:pPr>
    </w:lvl>
    <w:lvl w:ilvl="3" w:tplc="79809CB6">
      <w:start w:val="1"/>
      <w:numFmt w:val="bullet"/>
      <w:lvlText w:val="●"/>
      <w:lvlJc w:val="left"/>
      <w:pPr>
        <w:ind w:left="2880" w:hanging="360"/>
      </w:pPr>
    </w:lvl>
    <w:lvl w:ilvl="4" w:tplc="70A044AA">
      <w:start w:val="1"/>
      <w:numFmt w:val="bullet"/>
      <w:lvlText w:val="○"/>
      <w:lvlJc w:val="left"/>
      <w:pPr>
        <w:ind w:left="3600" w:hanging="360"/>
      </w:pPr>
    </w:lvl>
    <w:lvl w:ilvl="5" w:tplc="9044E44C">
      <w:start w:val="1"/>
      <w:numFmt w:val="bullet"/>
      <w:lvlText w:val="■"/>
      <w:lvlJc w:val="left"/>
      <w:pPr>
        <w:ind w:left="4320" w:hanging="360"/>
      </w:pPr>
    </w:lvl>
    <w:lvl w:ilvl="6" w:tplc="E33C276E">
      <w:start w:val="1"/>
      <w:numFmt w:val="bullet"/>
      <w:lvlText w:val="●"/>
      <w:lvlJc w:val="left"/>
      <w:pPr>
        <w:ind w:left="5040" w:hanging="360"/>
      </w:pPr>
    </w:lvl>
    <w:lvl w:ilvl="7" w:tplc="23328B7E">
      <w:start w:val="1"/>
      <w:numFmt w:val="bullet"/>
      <w:lvlText w:val="●"/>
      <w:lvlJc w:val="left"/>
      <w:pPr>
        <w:ind w:left="5760" w:hanging="360"/>
      </w:pPr>
    </w:lvl>
    <w:lvl w:ilvl="8" w:tplc="DA382BBE">
      <w:start w:val="1"/>
      <w:numFmt w:val="bullet"/>
      <w:lvlText w:val="●"/>
      <w:lvlJc w:val="left"/>
      <w:pPr>
        <w:ind w:left="6480" w:hanging="360"/>
      </w:pPr>
    </w:lvl>
  </w:abstractNum>
  <w:num w:numId="1" w16cid:durableId="5886586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CF2"/>
    <w:rsid w:val="00600662"/>
    <w:rsid w:val="008E1CF2"/>
    <w:rsid w:val="00B94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F8675"/>
  <w15:docId w15:val="{47E6A062-6197-4979-A758-C74D22CC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F4E79"/>
      <w:sz w:val="32"/>
      <w:szCs w:val="32"/>
    </w:rPr>
  </w:style>
  <w:style w:type="paragraph" w:styleId="Heading2">
    <w:name w:val="heading 2"/>
    <w:uiPriority w:val="9"/>
    <w:unhideWhenUsed/>
    <w:qFormat/>
    <w:pPr>
      <w:spacing w:before="300" w:after="150"/>
      <w:outlineLvl w:val="1"/>
    </w:pPr>
    <w:rPr>
      <w:b/>
      <w:bCs/>
      <w:color w:val="2E75B6"/>
      <w:sz w:val="26"/>
      <w:szCs w:val="26"/>
    </w:rPr>
  </w:style>
  <w:style w:type="paragraph" w:styleId="Heading3">
    <w:name w:val="heading 3"/>
    <w:uiPriority w:val="9"/>
    <w:unhideWhenUsed/>
    <w:qFormat/>
    <w:pPr>
      <w:spacing w:before="240" w:after="120"/>
      <w:outlineLvl w:val="2"/>
    </w:pPr>
    <w:rPr>
      <w:b/>
      <w:bCs/>
      <w:color w:val="404040"/>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5271</Words>
  <Characters>31117</Characters>
  <Application>Microsoft Office Word</Application>
  <DocSecurity>0</DocSecurity>
  <Lines>559</Lines>
  <Paragraphs>194</Paragraphs>
  <ScaleCrop>false</ScaleCrop>
  <Company/>
  <LinksUpToDate>false</LinksUpToDate>
  <CharactersWithSpaces>36171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 Ward</cp:lastModifiedBy>
  <cp:revision>2</cp:revision>
  <dcterms:created xsi:type="dcterms:W3CDTF">2026-01-21T20:37:00Z</dcterms:created>
  <dcterms:modified xsi:type="dcterms:W3CDTF">2026-01-21T20:43:00Z</dcterms:modified>
</cp:coreProperties>
</file>